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3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jc w:val="left"/>
              <w:rPr>
                <w:rFonts w:hint="default" w:ascii="黑体" w:hAnsi="黑体" w:eastAsia="黑体" w:cs="黑体"/>
                <w:b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sz w:val="21"/>
                <w:szCs w:val="21"/>
                <w:vertAlign w:val="baseline"/>
                <w:lang w:val="en-US" w:eastAsia="zh-CN"/>
              </w:rPr>
              <w:t>ICS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line="360" w:lineRule="auto"/>
              <w:jc w:val="left"/>
              <w:rPr>
                <w:rFonts w:hint="default" w:ascii="黑体" w:hAnsi="黑体" w:eastAsia="黑体" w:cs="黑体"/>
                <w:b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sz w:val="21"/>
                <w:szCs w:val="21"/>
                <w:vertAlign w:val="baseline"/>
                <w:lang w:val="en-US" w:eastAsia="zh-CN"/>
              </w:rPr>
              <w:t>CCS</w:t>
            </w:r>
          </w:p>
        </w:tc>
      </w:tr>
    </w:tbl>
    <w:p>
      <w:pPr>
        <w:spacing w:line="360" w:lineRule="auto"/>
        <w:ind w:left="480"/>
        <w:jc w:val="left"/>
        <w:rPr>
          <w:rFonts w:hint="eastAsia"/>
          <w:b/>
          <w:sz w:val="52"/>
        </w:rPr>
      </w:pPr>
      <w:r>
        <w:rPr>
          <w:rFonts w:hint="eastAsia"/>
          <w:b/>
          <w:sz w:val="52"/>
        </w:rPr>
        <w:t xml:space="preserve">               </w:t>
      </w:r>
    </w:p>
    <w:p>
      <w:pPr>
        <w:spacing w:line="360" w:lineRule="auto"/>
        <w:ind w:left="480"/>
        <w:jc w:val="right"/>
        <w:rPr>
          <w:b/>
          <w:sz w:val="52"/>
        </w:rPr>
      </w:pPr>
      <w:r>
        <w:rPr>
          <w:rFonts w:hint="eastAsia"/>
          <w:b/>
          <w:sz w:val="52"/>
        </w:rPr>
        <w:t xml:space="preserve">   DB3501</w:t>
      </w:r>
    </w:p>
    <w:p>
      <w:pPr>
        <w:spacing w:line="360" w:lineRule="auto"/>
        <w:ind w:left="480"/>
        <w:jc w:val="center"/>
        <w:rPr>
          <w:rFonts w:asciiTheme="minorHAnsi" w:hAnsiTheme="minorHAnsi" w:eastAsiaTheme="minorEastAsia" w:cstheme="minorBidi"/>
          <w:b/>
          <w:sz w:val="52"/>
          <w:szCs w:val="22"/>
        </w:rPr>
      </w:pPr>
      <w:r>
        <w:rPr>
          <w:rFonts w:hint="eastAsia" w:asciiTheme="minorHAnsi" w:hAnsiTheme="minorHAnsi" w:eastAsiaTheme="minorEastAsia" w:cstheme="minorBidi"/>
          <w:b/>
          <w:sz w:val="52"/>
          <w:szCs w:val="22"/>
        </w:rPr>
        <w:t>福 建 省 福 州 市 地 方 标 准</w:t>
      </w:r>
    </w:p>
    <w:p>
      <w:pPr>
        <w:spacing w:line="360" w:lineRule="auto"/>
        <w:ind w:left="480"/>
        <w:jc w:val="right"/>
        <w:rPr>
          <w:rFonts w:asciiTheme="minorHAnsi" w:hAnsiTheme="minorHAnsi" w:eastAsiaTheme="minorEastAsia" w:cstheme="minorBidi"/>
          <w:b/>
          <w:sz w:val="52"/>
          <w:szCs w:val="22"/>
        </w:rPr>
      </w:pPr>
      <w:r>
        <w:rPr>
          <w:sz w:val="5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-60960</wp:posOffset>
                </wp:positionH>
                <wp:positionV relativeFrom="paragraph">
                  <wp:posOffset>367665</wp:posOffset>
                </wp:positionV>
                <wp:extent cx="541210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82040" y="4097655"/>
                          <a:ext cx="541210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.8pt;margin-top:28.95pt;height:0pt;width:426.15pt;z-index:251659264;mso-width-relative:page;mso-height-relative:page;" filled="f" stroked="t" coordsize="21600,21600" o:gfxdata="UEsDBAoAAAAAAIdO4kAAAAAAAAAAAAAAAAAEAAAAZHJzL1BLAwQUAAAACACHTuJAAdrPhtcAAAAI&#10;AQAADwAAAGRycy9kb3ducmV2LnhtbE2PS0/DMBCE70j8B2uRuFSt3QB9pHF6AHLrhQLiuo23SUS8&#10;TmP3xa+vKw5wnJ3RzLfZ8mRbcaDeN441jEcKBHHpTMOVho/3YjgD4QOywdYxaTiTh2V+e5NhatyR&#10;3+iwDpWIJexT1FCH0KVS+rImi37kOuLobV1vMUTZV9L0eIzltpWJUhNpseG4UGNHzzWV3+u91eCL&#10;T9oVP4NyoL4eKkfJ7mX1ilrf343VAkSgU/gLwxU/okMemTZuz8aLVsNwPolJDU/TOYjozx6TKYjN&#10;70Hmmfz/QH4BUEsDBBQAAAAIAIdO4kBB0c1z5gEAAKYDAAAOAAAAZHJzL2Uyb0RvYy54bWytU81u&#10;1DAQviPxDpbvbLLRprTRZnvoqlwQrAQ8gNexE0v+k8fd7L4EL4DEDU4cufM2tI/B2AktlEsP5OCM&#10;7S/fzPfNZH15NJocRADlbEuXi5ISYbnrlO1b+uH99YtzSiAy2zHtrGjpSQC93Dx/th59Iyo3ON2J&#10;QJDEQjP6lg4x+qYogA/CMFg4LyxeShcMi7gNfdEFNiK70UVVlmfF6ELng+MCAE+30yWdGcNTCJ2U&#10;iout4zdG2DixBqFZREkwKA90k6uVUvD4VkoQkeiWotKYV0yC8T6txWbNmj4wPyg+l8CeUsIjTYYp&#10;i0nvqbYsMnIT1D9URvHgwMm44M4Uk5DsCKpYlo+8eTcwL7IWtBr8venw/2j5m8MuENXhJFBimcGG&#10;3376/vPjl7sfn3G9/faVLJNJo4cGsVd2F+Yd+F1Iio8ymPRGLeSINOV5Va7Q3lNLV+XFy7O6nkwW&#10;x0g4AurVslqWNSUcEbkBxQOJDxBfCWdIClqqlU36WcMOryFiYoT+hqRj666V1rmH2pKxpRd1lZgZ&#10;zqXEecDQeNQGtqeE6R4HnseQGcFp1aWvEw+Efn+lAzmwNCb5SUVjtr9gKfWWwTDh8tUM0xbRyaPJ&#10;lRTtXXfKZuVzbF/mm0ctzcef+/z1w++1+Q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AB2s+G1wAA&#10;AAgBAAAPAAAAAAAAAAEAIAAAACIAAABkcnMvZG93bnJldi54bWxQSwECFAAUAAAACACHTuJAQdHN&#10;c+YBAACmAwAADgAAAAAAAAABACAAAAAmAQAAZHJzL2Uyb0RvYy54bWxQSwUGAAAAAAYABgBZAQAA&#10;fgUA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inorHAnsi" w:hAnsiTheme="minorHAnsi" w:eastAsiaTheme="minorEastAsia" w:cstheme="minorBidi"/>
          <w:b/>
          <w:sz w:val="52"/>
          <w:szCs w:val="22"/>
        </w:rPr>
        <w:t xml:space="preserve">        </w:t>
      </w:r>
      <w:r>
        <w:rPr>
          <w:rFonts w:hint="eastAsia" w:asciiTheme="minorHAnsi" w:hAnsiTheme="minorHAnsi" w:eastAsiaTheme="minorEastAsia" w:cstheme="minorBidi"/>
          <w:b/>
          <w:sz w:val="52"/>
          <w:szCs w:val="22"/>
          <w:lang w:val="en-US" w:eastAsia="zh-CN"/>
        </w:rPr>
        <w:t xml:space="preserve">        </w:t>
      </w:r>
      <w:r>
        <w:rPr>
          <w:rFonts w:hint="eastAsia" w:ascii="黑体" w:hAnsi="黑体" w:eastAsia="黑体" w:cs="黑体"/>
          <w:b/>
          <w:sz w:val="28"/>
          <w:szCs w:val="28"/>
        </w:rPr>
        <w:t>DB3501/T 008-2023</w:t>
      </w: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0"/>
        <w:jc w:val="both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0"/>
        <w:jc w:val="both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一都枇杷栽培技术规程</w:t>
      </w:r>
    </w:p>
    <w:p>
      <w:pPr>
        <w:spacing w:line="360" w:lineRule="auto"/>
        <w:ind w:left="480"/>
        <w:jc w:val="center"/>
        <w:rPr>
          <w:rFonts w:hint="eastAsia"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Yidu loquat cultivation technical regulations</w:t>
      </w: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center"/>
        <w:rPr>
          <w:rFonts w:ascii="仿宋" w:hAnsi="仿宋" w:eastAsia="仿宋"/>
          <w:sz w:val="44"/>
          <w:szCs w:val="44"/>
        </w:rPr>
      </w:pPr>
    </w:p>
    <w:p>
      <w:pPr>
        <w:spacing w:line="360" w:lineRule="auto"/>
        <w:ind w:left="480"/>
        <w:jc w:val="both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241935</wp:posOffset>
                </wp:positionH>
                <wp:positionV relativeFrom="paragraph">
                  <wp:posOffset>259080</wp:posOffset>
                </wp:positionV>
                <wp:extent cx="515239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384935" y="9338310"/>
                          <a:ext cx="51523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.05pt;margin-top:20.4pt;height:0pt;width:405.7pt;z-index:251660288;mso-width-relative:page;mso-height-relative:page;" filled="f" stroked="t" coordsize="21600,21600" o:gfxdata="UEsDBAoAAAAAAIdO4kAAAAAAAAAAAAAAAAAEAAAAZHJzL1BLAwQUAAAACACHTuJA1khpptYAAAAI&#10;AQAADwAAAGRycy9kb3ducmV2LnhtbE2PvU7DQBCEeyTe4bRINFFy5yRExvicAnBHQwDRbuzFtvDt&#10;Ob7LDzw9i1JAuTOj2W/y9cn16kBj6DxbSGYGFHHl644bC68v5TQFFSJyjb1nsvBFAdbF5UWOWe2P&#10;/EyHTWyUlHDI0EIb45BpHaqWHIaZH4jF+/Cjwyjn2Oh6xKOUu17PjVlphx3LhxYHum+p+tzsnYVQ&#10;vtGu/J5UE/O+aDzNdw9Pj2jt9VVi7kBFOsW/MPziCzoUwrT1e66D6i0s0kSSFpZGFoifLm9vQG3P&#10;gi5y/X9A8QNQSwMEFAAAAAgAh07iQKMKJJ/kAQAApgMAAA4AAABkcnMvZTJvRG9jLnhtbK1TS44T&#10;MRDdI3EHy3vSSZqgpJXOLCYaNggiAQeouN3dlvyTy5NOLsEFkNjBiiV7bsNwDMpOMz82s6AX7rLr&#10;+ZXfc3l9cTSaHWRA5WzNZ5MpZ9IK1yjb1fzjh6sXS84wgm1AOytrfpLILzbPn60HX8m5651uZGBE&#10;YrEafM37GH1VFCh6aQAnzktLydYFA5GmoSuaAAOxG13Mp9NXxeBC44MTEpFWt+ckHxnDUwhd2yoh&#10;t05cG2njmTVIDZEkYa888k0+bdtKEd+1LcrIdM1JacwjFaF4n8Zis4aqC+B7JcYjwFOO8EiTAWWp&#10;6C3VFiKw66D+oTJKBIeujRPhTHEWkh0hFbPpI2/e9+Bl1kJWo781Hf8frXh72AWmmpqXnFkwdOE3&#10;n3/8+vT1988vNN58/8bKZNLgsSLspd2FcYZ+F5LiYxtM+pMWdqSGKpcvV+WCs1PNV2W5LGejyfIY&#10;mSDAYraYlyvyXxAi54o7Eh8wvpbOsBTUXCub9EMFhzcYqTBB/0LSsnVXSut8h9qygSou5lRaAPVl&#10;S/1AofGkDW3HGeiOGl7EkBnRadWk3YkHQ7e/1IEdILVJ/pJoqvYAlkpvAfszLqdGmLaETh6dXUnR&#10;3jWnbFZep+vLfGOrpf64P8+7757X5g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WSGmm1gAAAAgB&#10;AAAPAAAAAAAAAAEAIAAAACIAAABkcnMvZG93bnJldi54bWxQSwECFAAUAAAACACHTuJAowokn+QB&#10;AACmAwAADgAAAAAAAAABACAAAAAlAQAAZHJzL2Uyb0RvYy54bWxQSwUGAAAAAAYABgBZAQAAewUA&#10;AAAA&#10;">
                <v:fill on="f" focussize="0,0"/>
                <v:stroke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XXXX年XX月XX日发布                                  XXXX年XX月XX日实施</w:t>
      </w:r>
    </w:p>
    <w:p>
      <w:pPr>
        <w:spacing w:line="240" w:lineRule="auto"/>
        <w:ind w:left="0" w:firstLine="299"/>
        <w:jc w:val="center"/>
        <w:rPr>
          <w:rFonts w:hint="eastAsia" w:ascii="Calibri" w:hAnsi="Calibri" w:eastAsia="宋体"/>
          <w:sz w:val="21"/>
          <w:szCs w:val="24"/>
        </w:rPr>
      </w:pPr>
      <w:r>
        <w:rPr>
          <w:rFonts w:hint="eastAsia"/>
          <w:sz w:val="21"/>
          <w:szCs w:val="24"/>
          <w:lang w:eastAsia="zh-CN"/>
        </w:rPr>
        <w:t>福州市市场监督管理局</w:t>
      </w:r>
      <w:r>
        <w:rPr>
          <w:rFonts w:hint="eastAsia"/>
          <w:sz w:val="21"/>
          <w:szCs w:val="24"/>
          <w:lang w:val="en-US" w:eastAsia="zh-CN"/>
        </w:rPr>
        <w:t xml:space="preserve">  </w:t>
      </w:r>
      <w:r>
        <w:rPr>
          <w:rFonts w:hint="eastAsia"/>
          <w:sz w:val="21"/>
          <w:szCs w:val="24"/>
          <w:lang w:eastAsia="zh-CN"/>
        </w:rPr>
        <w:t>发布</w:t>
      </w:r>
    </w:p>
    <w:p>
      <w:pPr>
        <w:pStyle w:val="12"/>
        <w:spacing w:line="360" w:lineRule="auto"/>
        <w:ind w:left="840" w:firstLine="0" w:firstLineChars="0"/>
        <w:jc w:val="center"/>
        <w:rPr>
          <w:rFonts w:hint="eastAsia" w:ascii="仿宋" w:hAnsi="仿宋" w:eastAsia="仿宋"/>
          <w:sz w:val="44"/>
          <w:szCs w:val="44"/>
        </w:rPr>
      </w:pPr>
    </w:p>
    <w:p>
      <w:pPr>
        <w:pStyle w:val="12"/>
        <w:spacing w:line="360" w:lineRule="auto"/>
        <w:ind w:left="0" w:firstLine="0" w:firstLineChars="0"/>
        <w:jc w:val="center"/>
        <w:rPr>
          <w:rFonts w:ascii="仿宋" w:hAnsi="仿宋" w:eastAsia="仿宋"/>
          <w:sz w:val="44"/>
          <w:szCs w:val="44"/>
        </w:rPr>
      </w:pPr>
      <w:r>
        <w:rPr>
          <w:rFonts w:hint="eastAsia" w:ascii="仿宋" w:hAnsi="仿宋" w:eastAsia="仿宋"/>
          <w:sz w:val="44"/>
          <w:szCs w:val="44"/>
        </w:rPr>
        <w:t>前   言</w:t>
      </w:r>
    </w:p>
    <w:p>
      <w:pPr>
        <w:pStyle w:val="12"/>
        <w:spacing w:line="360" w:lineRule="auto"/>
        <w:ind w:left="840" w:firstLine="0" w:firstLineChars="0"/>
        <w:jc w:val="center"/>
        <w:rPr>
          <w:rFonts w:ascii="仿宋" w:hAnsi="仿宋" w:eastAsia="仿宋"/>
          <w:sz w:val="44"/>
          <w:szCs w:val="44"/>
        </w:rPr>
      </w:pPr>
    </w:p>
    <w:p>
      <w:pPr>
        <w:widowControl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lang w:bidi="ar"/>
        </w:rPr>
        <w:t xml:space="preserve">本文件按照GB/T 1.1—2020《标准化工作导则 第1部分：标准化文件的结构和起草规则》的规定起草。 </w:t>
      </w:r>
    </w:p>
    <w:p>
      <w:pPr>
        <w:widowControl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lang w:bidi="ar"/>
        </w:rPr>
        <w:t xml:space="preserve">请注意本文件的某些内容可能涉及专利。本文件的发布机构不承担识别专利的责任。 </w:t>
      </w:r>
    </w:p>
    <w:p>
      <w:pPr>
        <w:widowControl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lang w:bidi="ar"/>
        </w:rPr>
        <w:t xml:space="preserve">本文件由福建省农业科学院果树研究所提出。 </w:t>
      </w:r>
    </w:p>
    <w:p>
      <w:pPr>
        <w:widowControl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lang w:bidi="ar"/>
        </w:rPr>
        <w:t xml:space="preserve">本文件由福州市农业农村局归口。 </w:t>
      </w:r>
    </w:p>
    <w:p>
      <w:pPr>
        <w:widowControl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lang w:bidi="ar"/>
        </w:rPr>
        <w:t>本文件起草单位：福建省农业科学院果树研究所、福州市绿色食品发展中心、福州市经济作物技术站。</w:t>
      </w:r>
    </w:p>
    <w:p>
      <w:pPr>
        <w:widowControl/>
        <w:jc w:val="left"/>
        <w:rPr>
          <w:rFonts w:hint="eastAsia" w:ascii="仿宋_GB2312" w:hAnsi="仿宋_GB2312" w:eastAsia="仿宋_GB2312" w:cs="仿宋_GB2312"/>
          <w:color w:val="FF000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Cs w:val="21"/>
          <w:lang w:bidi="ar"/>
        </w:rPr>
        <w:t>本文件主要起草人：许奇志、邓朝军、蒋际谋、杨文文、苏文炳、郑少泉、胡文舜、林偲妍、王晟苏</w:t>
      </w:r>
      <w:r>
        <w:rPr>
          <w:rFonts w:hint="eastAsia" w:ascii="仿宋_GB2312" w:hAnsi="仿宋_GB2312" w:eastAsia="仿宋_GB2312" w:cs="仿宋_GB2312"/>
          <w:color w:val="000000"/>
          <w:kern w:val="0"/>
          <w:szCs w:val="21"/>
          <w:lang w:eastAsia="zh-CN" w:bidi="ar"/>
        </w:rPr>
        <w:t>、</w:t>
      </w:r>
      <w:r>
        <w:rPr>
          <w:rFonts w:hint="eastAsia" w:ascii="仿宋_GB2312" w:hAnsi="仿宋_GB2312" w:eastAsia="仿宋_GB2312" w:cs="仿宋_GB2312"/>
          <w:color w:val="auto"/>
          <w:kern w:val="0"/>
          <w:szCs w:val="21"/>
          <w:lang w:eastAsia="zh-CN" w:bidi="ar"/>
        </w:rPr>
        <w:t>叶丽萍。</w:t>
      </w:r>
    </w:p>
    <w:p>
      <w:pPr>
        <w:spacing w:line="360" w:lineRule="auto"/>
        <w:rPr>
          <w:rFonts w:ascii="仿宋" w:hAnsi="仿宋" w:eastAsia="仿宋"/>
          <w:sz w:val="24"/>
          <w:highlight w:val="yellow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480" w:firstLineChars="200"/>
        <w:rPr>
          <w:rFonts w:ascii="仿宋" w:hAnsi="仿宋" w:eastAsia="仿宋"/>
          <w:sz w:val="24"/>
        </w:rPr>
      </w:pPr>
    </w:p>
    <w:p>
      <w:pPr>
        <w:spacing w:line="360" w:lineRule="auto"/>
        <w:ind w:firstLine="0" w:firstLineChars="0"/>
        <w:rPr>
          <w:rFonts w:ascii="仿宋" w:hAnsi="仿宋" w:eastAsia="仿宋"/>
          <w:sz w:val="24"/>
        </w:rPr>
      </w:pPr>
    </w:p>
    <w:p>
      <w:pPr>
        <w:spacing w:line="400" w:lineRule="exact"/>
        <w:rPr>
          <w:rFonts w:ascii="仿宋" w:hAnsi="仿宋" w:eastAsia="仿宋"/>
          <w:sz w:val="24"/>
        </w:rPr>
      </w:pPr>
    </w:p>
    <w:p>
      <w:pPr>
        <w:spacing w:line="400" w:lineRule="exact"/>
        <w:rPr>
          <w:rFonts w:ascii="仿宋" w:hAnsi="仿宋" w:eastAsia="仿宋"/>
          <w:sz w:val="24"/>
        </w:rPr>
      </w:pPr>
    </w:p>
    <w:p>
      <w:pPr>
        <w:spacing w:line="400" w:lineRule="exact"/>
        <w:rPr>
          <w:rFonts w:ascii="仿宋" w:hAnsi="仿宋" w:eastAsia="仿宋"/>
          <w:sz w:val="24"/>
        </w:rPr>
      </w:pPr>
    </w:p>
    <w:p>
      <w:pPr>
        <w:spacing w:line="400" w:lineRule="exact"/>
        <w:rPr>
          <w:rFonts w:ascii="仿宋" w:hAnsi="仿宋" w:eastAsia="仿宋"/>
          <w:sz w:val="24"/>
        </w:rPr>
      </w:pPr>
    </w:p>
    <w:p>
      <w:pPr>
        <w:spacing w:line="440" w:lineRule="exact"/>
        <w:ind w:left="482"/>
        <w:jc w:val="center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一都枇杷栽培技术规程</w:t>
      </w:r>
    </w:p>
    <w:p>
      <w:pPr>
        <w:spacing w:line="400" w:lineRule="exact"/>
        <w:rPr>
          <w:rFonts w:ascii="宋体" w:hAnsi="宋体" w:cs="宋体"/>
          <w:sz w:val="24"/>
        </w:rPr>
      </w:pPr>
    </w:p>
    <w:p>
      <w:pPr>
        <w:spacing w:line="400" w:lineRule="exact"/>
        <w:rPr>
          <w:rFonts w:ascii="黑体" w:hAnsi="黑体" w:eastAsia="黑体"/>
          <w:sz w:val="21"/>
          <w:szCs w:val="21"/>
        </w:rPr>
      </w:pPr>
      <w:r>
        <w:rPr>
          <w:rFonts w:ascii="黑体" w:hAnsi="黑体" w:eastAsia="黑体"/>
          <w:sz w:val="21"/>
          <w:szCs w:val="21"/>
        </w:rPr>
        <w:t>1</w:t>
      </w:r>
      <w:r>
        <w:rPr>
          <w:rFonts w:hint="eastAsia" w:ascii="黑体" w:hAnsi="黑体" w:eastAsia="黑体"/>
          <w:szCs w:val="21"/>
        </w:rPr>
        <w:t xml:space="preserve"> </w:t>
      </w:r>
      <w:r>
        <w:rPr>
          <w:rFonts w:hint="eastAsia" w:ascii="黑体" w:hAnsi="黑体" w:eastAsia="黑体"/>
          <w:sz w:val="21"/>
          <w:szCs w:val="21"/>
        </w:rPr>
        <w:t>范围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本文件规定了一都</w:t>
      </w:r>
      <w:r>
        <w:rPr>
          <w:rFonts w:hint="eastAsia" w:ascii="仿宋_GB2312" w:hAnsi="仿宋_GB2312" w:eastAsia="仿宋_GB2312" w:cs="仿宋_GB2312"/>
          <w:szCs w:val="21"/>
        </w:rPr>
        <w:t>枇杷栽培技术规程的果园选址规划、小苗定植、肥水管理、整形修剪、花果管理、抗寒防冻、病虫害防治、采收与分级等要求。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本文件适用于福州地区枇杷栽培。</w:t>
      </w:r>
    </w:p>
    <w:p>
      <w:pPr>
        <w:numPr>
          <w:ilvl w:val="255"/>
          <w:numId w:val="0"/>
        </w:numPr>
        <w:spacing w:line="400" w:lineRule="exact"/>
        <w:rPr>
          <w:rFonts w:ascii="宋体" w:hAnsi="宋体" w:cs="宋体"/>
          <w:sz w:val="21"/>
          <w:szCs w:val="21"/>
        </w:rPr>
      </w:pPr>
      <w:r>
        <w:rPr>
          <w:rFonts w:ascii="黑体" w:hAnsi="黑体" w:eastAsia="黑体"/>
          <w:sz w:val="21"/>
          <w:szCs w:val="21"/>
        </w:rPr>
        <w:t>2</w:t>
      </w:r>
      <w:r>
        <w:rPr>
          <w:rFonts w:hint="eastAsia" w:ascii="黑体" w:hAnsi="黑体" w:eastAsia="黑体"/>
          <w:szCs w:val="21"/>
        </w:rPr>
        <w:t xml:space="preserve"> </w:t>
      </w:r>
      <w:r>
        <w:rPr>
          <w:rFonts w:hint="eastAsia" w:ascii="黑体" w:hAnsi="黑体" w:eastAsia="黑体"/>
          <w:sz w:val="21"/>
          <w:szCs w:val="21"/>
        </w:rPr>
        <w:t>规范性引用文件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下列文件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中的内容通过文中的规范性引用而构成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本文件必不可少的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条款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。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其中，标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注日期的引用文件，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仅该日期对应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的版本适用于本文件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不注日期的引用文件，其最新版本（包括所有的修改单）适用于本文件。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GB 4285     农药安全使用标准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GB/T 8321   农药合理使用准则（所有部分）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NY/T 496    肥料合理使用准则 (通则)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NY/T 750   绿色食品 热带、亚热带水果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NY/T 1056  绿色食品 储藏运输准则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 xml:space="preserve">NY/T 1939 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热带水果包装、标识通则</w:t>
      </w:r>
    </w:p>
    <w:p>
      <w:pPr>
        <w:spacing w:line="400" w:lineRule="exact"/>
        <w:ind w:firstLine="0" w:firstLineChars="0"/>
        <w:jc w:val="left"/>
        <w:rPr>
          <w:rFonts w:ascii="宋体" w:hAnsi="宋体" w:cs="宋体"/>
          <w:b/>
          <w:bCs/>
          <w:color w:val="444444"/>
          <w:szCs w:val="21"/>
          <w:shd w:val="clear" w:color="auto" w:fill="FFFFFF"/>
        </w:rPr>
      </w:pPr>
      <w:r>
        <w:rPr>
          <w:rFonts w:ascii="黑体" w:hAnsi="黑体" w:eastAsia="黑体" w:cs="黑体"/>
          <w:b w:val="0"/>
          <w:bCs w:val="0"/>
          <w:color w:val="444444"/>
          <w:szCs w:val="21"/>
          <w:shd w:val="clear" w:color="auto" w:fill="FFFFFF"/>
        </w:rPr>
        <w:t xml:space="preserve">3 </w:t>
      </w:r>
      <w:r>
        <w:rPr>
          <w:rFonts w:hint="eastAsia" w:ascii="黑体" w:hAnsi="黑体" w:eastAsia="黑体" w:cs="黑体"/>
          <w:b w:val="0"/>
          <w:bCs w:val="0"/>
          <w:color w:val="444444"/>
          <w:szCs w:val="21"/>
          <w:shd w:val="clear" w:color="auto" w:fill="FFFFFF"/>
        </w:rPr>
        <w:t>术语和定义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 xml:space="preserve">裸根苗 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指直接在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大田中培育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出圃时根系裸露在外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没有泥土等其他附着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物整体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保护的苗木。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 xml:space="preserve">营养袋苗 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指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使用基质和育苗容器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共同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培育出来的苗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木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。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 xml:space="preserve">短截 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shd w:val="clear"/>
          <w:lang w:bidi="ar"/>
        </w:rPr>
        <w:t>指对一年生枝条进行剪短，留下一部分枝条进行生长。</w:t>
      </w:r>
    </w:p>
    <w:p>
      <w:pPr>
        <w:spacing w:line="400" w:lineRule="exact"/>
        <w:rPr>
          <w:rFonts w:ascii="黑体" w:hAnsi="黑体" w:eastAsia="黑体"/>
          <w:color w:val="auto"/>
          <w:sz w:val="21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4</w:t>
      </w:r>
      <w:r>
        <w:rPr>
          <w:rFonts w:ascii="黑体" w:hAnsi="黑体" w:eastAsia="黑体"/>
          <w:color w:val="auto"/>
          <w:sz w:val="21"/>
          <w:szCs w:val="21"/>
        </w:rPr>
        <w:t xml:space="preserve"> 果园选址规划</w:t>
      </w:r>
    </w:p>
    <w:p>
      <w:pPr>
        <w:spacing w:line="400" w:lineRule="exact"/>
        <w:rPr>
          <w:rFonts w:ascii="黑体" w:hAnsi="黑体" w:eastAsia="黑体"/>
          <w:color w:val="auto"/>
          <w:sz w:val="21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4</w:t>
      </w:r>
      <w:r>
        <w:rPr>
          <w:rFonts w:ascii="黑体" w:hAnsi="黑体" w:eastAsia="黑体"/>
          <w:color w:val="auto"/>
          <w:sz w:val="21"/>
          <w:szCs w:val="21"/>
        </w:rPr>
        <w:t xml:space="preserve">.1 </w:t>
      </w:r>
      <w:r>
        <w:rPr>
          <w:rFonts w:hint="eastAsia" w:ascii="黑体" w:hAnsi="黑体" w:eastAsia="黑体"/>
          <w:color w:val="auto"/>
          <w:sz w:val="21"/>
          <w:szCs w:val="21"/>
        </w:rPr>
        <w:t>园地选择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果园应避开污染源，海拔高度不超过500m，交通便利，水源充足，避风向阳，不易沉聚冷空气。年均温度高于15℃，1月月均温度在6℃以上，最低温度在-1.5℃以上。土壤排水良好，土层厚度0.8m以上，土质疏松，有机质含量大于1.0%，PH值在5.0-7.0之间，地下水位在1m以下。</w:t>
      </w:r>
    </w:p>
    <w:p>
      <w:pPr>
        <w:spacing w:line="400" w:lineRule="exact"/>
        <w:rPr>
          <w:rFonts w:ascii="黑体" w:hAnsi="黑体" w:eastAsia="黑体"/>
          <w:color w:val="auto"/>
          <w:sz w:val="21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4</w:t>
      </w:r>
      <w:r>
        <w:rPr>
          <w:rFonts w:ascii="黑体" w:hAnsi="黑体" w:eastAsia="黑体"/>
          <w:color w:val="auto"/>
          <w:sz w:val="21"/>
          <w:szCs w:val="21"/>
        </w:rPr>
        <w:t xml:space="preserve">.2 </w:t>
      </w:r>
      <w:r>
        <w:rPr>
          <w:rFonts w:hint="eastAsia" w:ascii="黑体" w:hAnsi="黑体" w:eastAsia="黑体"/>
          <w:color w:val="auto"/>
          <w:sz w:val="21"/>
          <w:szCs w:val="21"/>
        </w:rPr>
        <w:t>果园规划</w:t>
      </w:r>
    </w:p>
    <w:p>
      <w:pPr>
        <w:spacing w:line="400" w:lineRule="exact"/>
        <w:ind w:firstLine="420" w:firstLineChars="200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Times New Roman" w:hAnsi="Times New Roman" w:eastAsia="仿宋"/>
          <w:color w:val="auto"/>
          <w:sz w:val="21"/>
          <w:szCs w:val="21"/>
        </w:rPr>
        <w:t>果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园应选择坡度小于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5°以下的背风坡地，坡向应选择南坡、东南坡和西南坡，其次是东坡和西坡。坡地水平梯台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宽度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≥3m，台面略向内倾斜10°，梯台内壁挖深宽均为30cm的排水沟。平地建园采用高畦种植法，以畦沟和主排水沟为排蓄水系统，畦沟深宽各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20-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50 cm，每隔50-60 m开深宽80 cm与60 cm的主排水沟，园地四周开环园深宽为1.2 m与1.0 m深沟与外部相连接。按果园面积每hm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vertAlign w:val="baseline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配置1个25m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vertAlign w:val="baseline"/>
          <w:lang w:bidi="ar"/>
        </w:rPr>
        <w:t>3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蓄水池。结合园地规模、地形、地势，修建必要的机耕路。</w:t>
      </w:r>
    </w:p>
    <w:p>
      <w:pPr>
        <w:spacing w:line="400" w:lineRule="exact"/>
        <w:rPr>
          <w:rFonts w:ascii="黑体" w:hAnsi="黑体" w:eastAsia="黑体"/>
          <w:color w:val="auto"/>
          <w:sz w:val="21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5</w:t>
      </w:r>
      <w:r>
        <w:rPr>
          <w:rFonts w:ascii="黑体" w:hAnsi="黑体" w:eastAsia="黑体"/>
          <w:color w:val="auto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auto"/>
          <w:sz w:val="21"/>
          <w:szCs w:val="21"/>
        </w:rPr>
        <w:t>小苗定植</w:t>
      </w:r>
    </w:p>
    <w:p>
      <w:pPr>
        <w:spacing w:line="400" w:lineRule="exact"/>
        <w:rPr>
          <w:rFonts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5.1 定植前准备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定植前1-3个月应整理好园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地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，挖好定植穴，穴宽1m、深0.8m；定植穴施基肥，每穴施20-30kg的有机肥，0.5kg的生石灰，肥料与土拌匀后施入，再用素土堆高出地面30-40cm的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种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植盘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，种植盘面长宽各1m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。使用的肥料符合NY/T496-2010要求。</w:t>
      </w:r>
    </w:p>
    <w:p>
      <w:pPr>
        <w:spacing w:line="400" w:lineRule="exact"/>
        <w:rPr>
          <w:rFonts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5.2 定植时间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裸根苗最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佳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时期在1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1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月至翌年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月，营养袋苗周年均可定植。</w:t>
      </w:r>
    </w:p>
    <w:p>
      <w:pPr>
        <w:spacing w:line="400" w:lineRule="exact"/>
        <w:rPr>
          <w:rFonts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5.3 种植密度</w:t>
      </w:r>
    </w:p>
    <w:p>
      <w:pPr>
        <w:spacing w:line="400" w:lineRule="exact"/>
        <w:ind w:firstLine="420" w:firstLineChars="200"/>
        <w:rPr>
          <w:rFonts w:ascii="Times New Roman" w:hAnsi="Times New Roman" w:eastAsia="仿宋"/>
          <w:color w:val="auto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平地果园株行距宜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eastAsia="zh-CN" w:bidi="ar"/>
        </w:rPr>
        <w:t>4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-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6m×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4-6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m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，2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-4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株/667m</w:t>
      </w:r>
      <w:r>
        <w:rPr>
          <w:rFonts w:hint="eastAsia" w:ascii="仿宋_GB2312" w:hAnsi="仿宋_GB2312" w:eastAsia="仿宋_GB2312" w:cs="仿宋_GB2312"/>
          <w:color w:val="000000"/>
          <w:szCs w:val="21"/>
          <w:vertAlign w:val="baseline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；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山地果园株行距宜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-5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m×</w:t>
      </w:r>
      <w:r>
        <w:rPr>
          <w:rFonts w:hint="eastAsia" w:ascii="仿宋_GB2312" w:hAnsi="仿宋_GB2312" w:eastAsia="仿宋_GB2312" w:cs="仿宋_GB2312"/>
          <w:color w:val="000000"/>
          <w:szCs w:val="21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-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5m，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30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-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5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0株/667m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vertAlign w:val="baseline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根据实际地形而定。</w:t>
      </w:r>
    </w:p>
    <w:p>
      <w:pPr>
        <w:spacing w:line="400" w:lineRule="exact"/>
        <w:rPr>
          <w:rFonts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5.4 定植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裸根苗定植做到根系舒展，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苗木的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根颈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部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与种植盘面平或略低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1~2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cm；营养袋苗定植要去除营养袋，防止土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团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散开，土坯面与定植穴面平。定植后修整树盘，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每株浇40~50kg定根水，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在树盘覆盖10-15cm厚的稻草或杂草，保持土壤湿度直至成活。</w:t>
      </w: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6 肥水管理</w:t>
      </w: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6.1 施肥原则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以有机肥为主，化肥为辅。有条件的果园采取营养诊断施肥。肥料应符合NY/T 496-2010要求。</w:t>
      </w:r>
    </w:p>
    <w:p>
      <w:pPr>
        <w:spacing w:line="400" w:lineRule="exact"/>
        <w:ind w:firstLine="0" w:firstLineChars="0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6</w:t>
      </w:r>
      <w:r>
        <w:rPr>
          <w:rFonts w:ascii="黑体" w:hAnsi="黑体" w:eastAsia="黑体" w:cs="宋体"/>
          <w:color w:val="auto"/>
          <w:kern w:val="0"/>
          <w:szCs w:val="21"/>
        </w:rPr>
        <w:t>.2 施肥方法和数量</w:t>
      </w: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6</w:t>
      </w:r>
      <w:r>
        <w:rPr>
          <w:rFonts w:ascii="黑体" w:hAnsi="黑体" w:eastAsia="黑体" w:cs="宋体"/>
          <w:color w:val="auto"/>
          <w:kern w:val="0"/>
          <w:szCs w:val="21"/>
        </w:rPr>
        <w:t>.2.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1</w:t>
      </w:r>
      <w:r>
        <w:rPr>
          <w:rFonts w:ascii="黑体" w:hAnsi="黑体" w:eastAsia="黑体" w:cs="宋体"/>
          <w:color w:val="auto"/>
          <w:kern w:val="0"/>
          <w:szCs w:val="21"/>
        </w:rPr>
        <w:t>幼龄树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定植1年内，1～2个月施一次水肥，每次用2‰复合肥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（N-P</w:t>
      </w:r>
      <w:r>
        <w:rPr>
          <w:rFonts w:hint="eastAsia" w:ascii="仿宋_GB2312" w:hAnsi="仿宋_GB2312" w:eastAsia="仿宋_GB2312" w:cs="仿宋_GB2312"/>
          <w:color w:val="000000"/>
          <w:szCs w:val="21"/>
          <w:vertAlign w:val="baseline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O</w:t>
      </w:r>
      <w:r>
        <w:rPr>
          <w:rFonts w:hint="eastAsia" w:ascii="仿宋_GB2312" w:hAnsi="仿宋_GB2312" w:eastAsia="仿宋_GB2312" w:cs="仿宋_GB2312"/>
          <w:color w:val="000000"/>
          <w:szCs w:val="21"/>
          <w:vertAlign w:val="baseline"/>
          <w:lang w:bidi="ar"/>
        </w:rPr>
        <w:t>5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-k</w:t>
      </w:r>
      <w:r>
        <w:rPr>
          <w:rFonts w:hint="eastAsia" w:ascii="仿宋_GB2312" w:hAnsi="仿宋_GB2312" w:eastAsia="仿宋_GB2312" w:cs="仿宋_GB2312"/>
          <w:color w:val="000000"/>
          <w:szCs w:val="21"/>
          <w:vertAlign w:val="baseline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O:15-15-15）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或2‰尿素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水肥浇施。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复合肥与尿素应间隔施用，每次株施水肥25kg。2年生定植树，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抽梢时期追施速效肥，每次用2%尿素或3%复合肥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（N-P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vertAlign w:val="baseline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O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vertAlign w:val="baseline"/>
          <w:lang w:bidi="ar"/>
        </w:rPr>
        <w:t>5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-k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vertAlign w:val="baseline"/>
          <w:lang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O:15-15-15）水肥浇施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根据树体长势决定施肥次数和施肥量。</w:t>
      </w: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6</w:t>
      </w:r>
      <w:r>
        <w:rPr>
          <w:rFonts w:ascii="黑体" w:hAnsi="黑体" w:eastAsia="黑体" w:cs="宋体"/>
          <w:color w:val="auto"/>
          <w:kern w:val="0"/>
          <w:szCs w:val="21"/>
        </w:rPr>
        <w:t>.2.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2</w:t>
      </w:r>
      <w:r>
        <w:rPr>
          <w:rFonts w:ascii="黑体" w:hAnsi="黑体" w:eastAsia="黑体" w:cs="宋体"/>
          <w:color w:val="auto"/>
          <w:kern w:val="0"/>
          <w:szCs w:val="21"/>
        </w:rPr>
        <w:t xml:space="preserve"> 结果树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年施肥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2-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3次。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采果肥，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在采果后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eastAsia="zh-CN"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5-6月）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施肥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占年施肥量的40%，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 xml:space="preserve">株施腐熟有机肥(禽畜粪肥为主) 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20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kg-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25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kg+ 硫酸钾0.15kg；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花前肥，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在开花前（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9-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10月）施肥一次，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占年施肥量的30-40%，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株施复合肥（N-P2O5-k2O:15-15-15）1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 xml:space="preserve">.0kg-1.5 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kg，叶面喷施600-800倍液磷酸二氢钾和800-1000倍液硼酸的混合液以控梢促花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eastAsia="zh-CN" w:bidi="ar"/>
        </w:rPr>
        <w:t>；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在幼果期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增施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1次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壮果肥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，株施复合肥1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 xml:space="preserve">.0 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kg。采用对称沟施肥法，以树冠滴水线外10cm处，开环形沟，深15～25cm、宽20～30cm，肥料与土混拌均匀回填沟内。</w:t>
      </w:r>
    </w:p>
    <w:p>
      <w:pPr>
        <w:spacing w:line="400" w:lineRule="exact"/>
        <w:ind w:firstLine="420" w:firstLineChars="200"/>
        <w:rPr>
          <w:rFonts w:hint="eastAsia" w:ascii="Times New Roman" w:hAnsi="Times New Roman" w:eastAsia="仿宋" w:cs="宋体"/>
          <w:color w:val="auto"/>
          <w:kern w:val="0"/>
          <w:sz w:val="21"/>
          <w:szCs w:val="21"/>
        </w:rPr>
      </w:pP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6</w:t>
      </w:r>
      <w:r>
        <w:rPr>
          <w:rFonts w:ascii="黑体" w:hAnsi="黑体" w:eastAsia="黑体" w:cs="宋体"/>
          <w:color w:val="auto"/>
          <w:kern w:val="0"/>
          <w:szCs w:val="21"/>
        </w:rPr>
        <w:t>.3 水分管理</w:t>
      </w:r>
    </w:p>
    <w:p>
      <w:pPr>
        <w:spacing w:line="400" w:lineRule="exac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ascii="Times New Roman" w:hAnsi="Times New Roman" w:eastAsia="仿宋" w:cs="宋体"/>
          <w:color w:val="auto"/>
          <w:kern w:val="0"/>
          <w:sz w:val="21"/>
          <w:szCs w:val="21"/>
        </w:rPr>
        <w:t xml:space="preserve">   </w:t>
      </w:r>
      <w:r>
        <w:rPr>
          <w:rFonts w:hint="eastAsia" w:ascii="Times New Roman" w:hAnsi="Times New Roman" w:eastAsia="宋体" w:cs="宋体"/>
          <w:color w:val="auto"/>
          <w:kern w:val="0"/>
          <w:szCs w:val="21"/>
        </w:rPr>
        <w:t>旱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季注意灌水而雨季注意排水，果实采收期应保持平地排水沟或梯田后沟排水良好。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开花、幼果期果园土壤湿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val="en-US" w:eastAsia="zh-CN" w:bidi="ar"/>
        </w:rPr>
        <w:t>度要保持40-50%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。</w:t>
      </w: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7</w:t>
      </w:r>
      <w:r>
        <w:rPr>
          <w:rFonts w:ascii="黑体" w:hAnsi="黑体" w:eastAsia="黑体" w:cs="宋体"/>
          <w:color w:val="auto"/>
          <w:kern w:val="0"/>
          <w:szCs w:val="21"/>
        </w:rPr>
        <w:t xml:space="preserve"> 整形修剪</w:t>
      </w: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7</w:t>
      </w:r>
      <w:r>
        <w:rPr>
          <w:rFonts w:ascii="黑体" w:hAnsi="黑体" w:eastAsia="黑体" w:cs="宋体"/>
          <w:color w:val="auto"/>
          <w:kern w:val="0"/>
          <w:szCs w:val="21"/>
        </w:rPr>
        <w:t>.1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 xml:space="preserve"> </w:t>
      </w:r>
      <w:r>
        <w:rPr>
          <w:rFonts w:ascii="黑体" w:hAnsi="黑体" w:eastAsia="黑体" w:cs="宋体"/>
          <w:color w:val="auto"/>
          <w:kern w:val="0"/>
          <w:szCs w:val="21"/>
        </w:rPr>
        <w:t>幼龄树</w:t>
      </w:r>
    </w:p>
    <w:p>
      <w:pPr>
        <w:pStyle w:val="24"/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Times New Roman" w:hAnsi="Times New Roman" w:eastAsia="仿宋" w:cs="宋体"/>
          <w:color w:val="auto"/>
          <w:kern w:val="0"/>
          <w:sz w:val="24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定干高度30.0 cm～40.0 cm。枝梢粗度≥1.0 cm留2～3条方位均衡的新梢，0.6 cm～1.0 cm留1～2条，＜0.6 cm疏除。应用拉枝、撑枝等措施培养开心形或圆头形树冠。剪去病虫枝、重叠枝、过密枝、细弱枝。</w:t>
      </w:r>
    </w:p>
    <w:p>
      <w:pPr>
        <w:spacing w:line="400" w:lineRule="exac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7</w:t>
      </w:r>
      <w:r>
        <w:rPr>
          <w:rFonts w:ascii="黑体" w:hAnsi="黑体" w:eastAsia="黑体" w:cs="宋体"/>
          <w:color w:val="auto"/>
          <w:kern w:val="0"/>
          <w:szCs w:val="21"/>
        </w:rPr>
        <w:t>.2 结果树</w:t>
      </w:r>
    </w:p>
    <w:p>
      <w:pPr>
        <w:spacing w:line="400" w:lineRule="exact"/>
        <w:ind w:firstLine="0" w:firstLineChars="0"/>
        <w:rPr>
          <w:rFonts w:ascii="黑体" w:hAnsi="黑体" w:eastAsia="黑体" w:cs="宋体"/>
          <w:color w:val="auto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7</w:t>
      </w:r>
      <w:r>
        <w:rPr>
          <w:rFonts w:ascii="黑体" w:hAnsi="黑体" w:eastAsia="黑体" w:cs="宋体"/>
          <w:color w:val="auto"/>
          <w:kern w:val="0"/>
          <w:szCs w:val="21"/>
        </w:rPr>
        <w:t>.2.1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 xml:space="preserve"> 修剪</w:t>
      </w:r>
    </w:p>
    <w:p>
      <w:pPr>
        <w:autoSpaceDE w:val="0"/>
        <w:autoSpaceDN w:val="0"/>
        <w:adjustRightInd w:val="0"/>
        <w:spacing w:line="400" w:lineRule="exact"/>
        <w:ind w:firstLine="420" w:firstLineChars="200"/>
        <w:jc w:val="left"/>
        <w:rPr>
          <w:rFonts w:ascii="Times New Roman" w:hAnsi="Times New Roman" w:eastAsia="仿宋" w:cs="宋体"/>
          <w:color w:val="auto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培养采后枝成为翌年结果母枝。早熟品种采果后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短截修剪，晚熟品种采果后不短截。同时，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剪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除细弱枝、交叉枝、病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虫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枝和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重叠枝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，短截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或疏除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徒长枝。</w:t>
      </w:r>
    </w:p>
    <w:p>
      <w:pPr>
        <w:autoSpaceDE/>
        <w:autoSpaceDN/>
        <w:adjustRightInd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7</w:t>
      </w:r>
      <w:r>
        <w:rPr>
          <w:rFonts w:ascii="黑体" w:hAnsi="黑体" w:eastAsia="黑体" w:cs="宋体"/>
          <w:color w:val="auto"/>
          <w:kern w:val="0"/>
          <w:szCs w:val="21"/>
        </w:rPr>
        <w:t xml:space="preserve">.2.2 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抹芽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修剪后，根据枝条粗度和长势确定抹芽留芽数，≥1.0 cm枝条留2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～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3个芽，＜ 1.0 cm和长势弱的枝条留1个芽。</w:t>
      </w:r>
    </w:p>
    <w:p>
      <w:pPr>
        <w:autoSpaceDE/>
        <w:autoSpaceDN/>
        <w:adjustRightInd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ascii="黑体" w:hAnsi="黑体" w:eastAsia="黑体" w:cs="宋体"/>
          <w:color w:val="auto"/>
          <w:kern w:val="0"/>
          <w:szCs w:val="21"/>
        </w:rPr>
        <w:t xml:space="preserve">7.2.3 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树冠回缩</w:t>
      </w:r>
    </w:p>
    <w:p>
      <w:pPr>
        <w:autoSpaceDE/>
        <w:autoSpaceDN/>
        <w:adjustRightInd/>
        <w:spacing w:line="400" w:lineRule="exact"/>
        <w:ind w:firstLine="420" w:firstLineChars="200"/>
        <w:jc w:val="left"/>
        <w:rPr>
          <w:rFonts w:ascii="Times New Roman" w:hAnsi="Times New Roman" w:eastAsia="仿宋" w:cs="宋体"/>
          <w:color w:val="auto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树高≥3.0 m，两株树间的枝梢交叉重叠枝，回缩主干、主枝。</w:t>
      </w:r>
      <w:bookmarkStart w:id="0" w:name="_Toc351386377"/>
      <w:bookmarkStart w:id="1" w:name="_Toc427245616"/>
    </w:p>
    <w:p>
      <w:pPr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7</w:t>
      </w:r>
      <w:r>
        <w:rPr>
          <w:rFonts w:ascii="黑体" w:hAnsi="黑体" w:eastAsia="黑体" w:cs="宋体"/>
          <w:color w:val="auto"/>
          <w:kern w:val="0"/>
          <w:szCs w:val="21"/>
        </w:rPr>
        <w:t>.3 衰老树</w:t>
      </w:r>
      <w:bookmarkEnd w:id="0"/>
      <w:bookmarkEnd w:id="1"/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进行回缩更新修剪或轮换更新修剪，在4～8年生部位留健壮枝进行回缩更新，2～3年完成更新；同时，加强水肥管理。</w:t>
      </w:r>
    </w:p>
    <w:p>
      <w:pPr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8</w:t>
      </w:r>
      <w:r>
        <w:rPr>
          <w:rFonts w:ascii="黑体" w:hAnsi="黑体" w:eastAsia="黑体" w:cs="宋体"/>
          <w:color w:val="auto"/>
          <w:kern w:val="0"/>
          <w:szCs w:val="21"/>
        </w:rPr>
        <w:t>花果管理</w:t>
      </w:r>
    </w:p>
    <w:p>
      <w:pPr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8</w:t>
      </w:r>
      <w:r>
        <w:rPr>
          <w:rFonts w:ascii="黑体" w:hAnsi="黑体" w:eastAsia="黑体" w:cs="宋体"/>
          <w:color w:val="auto"/>
          <w:kern w:val="0"/>
          <w:szCs w:val="21"/>
        </w:rPr>
        <w:t>.1 疏花</w:t>
      </w:r>
    </w:p>
    <w:p>
      <w:pPr>
        <w:autoSpaceDE w:val="0"/>
        <w:autoSpaceDN w:val="0"/>
        <w:adjustRightInd w:val="0"/>
        <w:spacing w:line="400" w:lineRule="exact"/>
        <w:ind w:firstLine="0" w:firstLineChars="0"/>
        <w:jc w:val="left"/>
        <w:rPr>
          <w:rFonts w:ascii="Times New Roman" w:hAnsi="Times New Roman" w:eastAsia="仿宋"/>
          <w:color w:val="auto"/>
          <w:szCs w:val="21"/>
        </w:rPr>
      </w:pPr>
      <w:r>
        <w:rPr>
          <w:rFonts w:hint="eastAsia" w:ascii="Times New Roman" w:hAnsi="Times New Roman" w:eastAsia="仿宋"/>
          <w:b/>
          <w:bCs/>
          <w:color w:val="auto"/>
          <w:szCs w:val="21"/>
        </w:rPr>
        <w:t xml:space="preserve">8.1.1 </w:t>
      </w:r>
      <w:r>
        <w:rPr>
          <w:rFonts w:hint="eastAsia" w:ascii="Times New Roman" w:hAnsi="Times New Roman" w:eastAsia="仿宋"/>
          <w:b/>
          <w:bCs/>
          <w:color w:val="auto"/>
          <w:sz w:val="21"/>
          <w:szCs w:val="21"/>
        </w:rPr>
        <w:t>疏花穗</w:t>
      </w:r>
      <w:r>
        <w:rPr>
          <w:rFonts w:ascii="Times New Roman" w:hAnsi="Times New Roman" w:eastAsia="仿宋"/>
          <w:color w:val="auto"/>
          <w:sz w:val="21"/>
          <w:szCs w:val="21"/>
        </w:rPr>
        <w:t xml:space="preserve"> </w:t>
      </w:r>
    </w:p>
    <w:p>
      <w:pPr>
        <w:autoSpaceDE w:val="0"/>
        <w:autoSpaceDN w:val="0"/>
        <w:adjustRightInd w:val="0"/>
        <w:spacing w:line="400" w:lineRule="exact"/>
        <w:ind w:firstLine="0" w:firstLineChars="0"/>
        <w:jc w:val="left"/>
        <w:rPr>
          <w:rFonts w:ascii="Times New Roman" w:hAnsi="Times New Roman" w:eastAsia="仿宋"/>
          <w:color w:val="auto"/>
          <w:sz w:val="21"/>
          <w:szCs w:val="21"/>
        </w:rPr>
      </w:pPr>
      <w:r>
        <w:rPr>
          <w:rFonts w:hint="eastAsia" w:ascii="Times New Roman" w:hAnsi="Times New Roman" w:eastAsia="仿宋"/>
          <w:color w:val="auto"/>
          <w:szCs w:val="21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原则是去外留内，去早晚迟留中（不明白）、去弱留强和树冠上部多疏，使花穗分布均匀合理，花穗量占株总枝量的40%-60%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，壮树多留，弱树少留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。易受冻害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园区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推迟疏穗或不疏穗，待冻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害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过后结合疏果进行疏果穗。</w:t>
      </w:r>
    </w:p>
    <w:p>
      <w:pPr>
        <w:autoSpaceDE w:val="0"/>
        <w:autoSpaceDN w:val="0"/>
        <w:adjustRightInd w:val="0"/>
        <w:spacing w:line="400" w:lineRule="exact"/>
        <w:ind w:firstLine="0" w:firstLineChars="0"/>
        <w:jc w:val="left"/>
        <w:rPr>
          <w:rFonts w:ascii="Times New Roman" w:hAnsi="Times New Roman" w:eastAsia="仿宋"/>
          <w:color w:val="auto"/>
          <w:szCs w:val="21"/>
        </w:rPr>
      </w:pPr>
      <w:r>
        <w:rPr>
          <w:rFonts w:hint="eastAsia" w:ascii="Times New Roman" w:hAnsi="Times New Roman" w:eastAsia="仿宋"/>
          <w:b/>
          <w:bCs/>
          <w:color w:val="auto"/>
          <w:szCs w:val="21"/>
        </w:rPr>
        <w:t xml:space="preserve">8.1.2 </w:t>
      </w:r>
      <w:r>
        <w:rPr>
          <w:rFonts w:hint="eastAsia" w:ascii="Times New Roman" w:hAnsi="Times New Roman" w:eastAsia="仿宋"/>
          <w:b/>
          <w:bCs/>
          <w:color w:val="auto"/>
          <w:sz w:val="21"/>
          <w:szCs w:val="21"/>
        </w:rPr>
        <w:t>疏花</w:t>
      </w:r>
      <w:r>
        <w:rPr>
          <w:rFonts w:ascii="Times New Roman" w:hAnsi="Times New Roman" w:eastAsia="仿宋"/>
          <w:color w:val="auto"/>
          <w:sz w:val="21"/>
          <w:szCs w:val="21"/>
        </w:rPr>
        <w:t xml:space="preserve"> </w:t>
      </w:r>
    </w:p>
    <w:p>
      <w:pPr>
        <w:widowControl/>
        <w:autoSpaceDE/>
        <w:autoSpaceDN/>
        <w:adjustRightInd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留下的花穗先摘除顶部1/4~1/3和基部1-3个支穗，保留健壮支穗3-4个，留下的支穗顶部摘除1/3，使支穗结构合理，花期集中，便于套袋。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8</w:t>
      </w:r>
      <w:r>
        <w:rPr>
          <w:rFonts w:ascii="黑体" w:hAnsi="黑体" w:eastAsia="黑体" w:cs="宋体"/>
          <w:color w:val="auto"/>
          <w:kern w:val="0"/>
          <w:szCs w:val="21"/>
        </w:rPr>
        <w:t>.2 疏果</w:t>
      </w:r>
    </w:p>
    <w:p>
      <w:pPr>
        <w:widowControl/>
        <w:autoSpaceDE/>
        <w:autoSpaceDN/>
        <w:adjustRightInd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幼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果长至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横径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1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.0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~2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.0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cm时疏果。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先疏除病虫果、畸形果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、机械损伤果以及过密果，去除过大和过小果，留发育健全大小一致的幼果红肉品种每穗留果3～5粒，白肉品种每穗留果4～6粒，结果枝粗壮、叶数多而大的多留；结果枝细小、叶数少的少留。易冻害产区在冻害发生期过后疏果。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8</w:t>
      </w:r>
      <w:r>
        <w:rPr>
          <w:rFonts w:ascii="黑体" w:hAnsi="黑体" w:eastAsia="黑体" w:cs="宋体"/>
          <w:color w:val="auto"/>
          <w:kern w:val="0"/>
          <w:szCs w:val="21"/>
        </w:rPr>
        <w:t>.3 果实套袋</w:t>
      </w:r>
    </w:p>
    <w:p>
      <w:pPr>
        <w:spacing w:line="400" w:lineRule="exact"/>
        <w:ind w:firstLine="0" w:firstLineChars="0"/>
        <w:rPr>
          <w:rFonts w:ascii="Times New Roman" w:hAnsi="Times New Roman" w:eastAsia="仿宋"/>
          <w:color w:val="auto"/>
          <w:kern w:val="0"/>
          <w:szCs w:val="21"/>
        </w:rPr>
      </w:pPr>
      <w:r>
        <w:rPr>
          <w:rFonts w:ascii="仿宋" w:hAnsi="仿宋" w:eastAsia="仿宋" w:cs="仿宋"/>
          <w:b/>
          <w:bCs/>
          <w:color w:val="auto"/>
          <w:kern w:val="0"/>
          <w:szCs w:val="21"/>
        </w:rPr>
        <w:t>8.3.1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1"/>
          <w:szCs w:val="21"/>
        </w:rPr>
        <w:t>套袋前准备</w:t>
      </w:r>
      <w:r>
        <w:rPr>
          <w:rFonts w:ascii="宋体" w:hAnsi="宋体" w:eastAsia="宋体" w:cs="宋体"/>
          <w:b/>
          <w:bCs/>
          <w:color w:val="auto"/>
          <w:kern w:val="0"/>
          <w:sz w:val="21"/>
          <w:szCs w:val="21"/>
        </w:rPr>
        <w:t xml:space="preserve"> </w:t>
      </w:r>
      <w:r>
        <w:rPr>
          <w:rFonts w:ascii="Times New Roman" w:hAnsi="Times New Roman" w:eastAsia="仿宋"/>
          <w:color w:val="auto"/>
          <w:kern w:val="0"/>
          <w:sz w:val="21"/>
          <w:szCs w:val="21"/>
        </w:rPr>
        <w:t xml:space="preserve"> 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套袋材料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以牛皮纸袋为佳。规格为25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 w:bidi="ar"/>
        </w:rPr>
        <w:t>cm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×3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cm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为防治桔小食蝇为害，纸袋宜制成全封闭。</w:t>
      </w:r>
    </w:p>
    <w:p>
      <w:pPr>
        <w:spacing w:line="400" w:lineRule="exact"/>
        <w:ind w:firstLine="0" w:firstLineChars="0"/>
        <w:rPr>
          <w:rFonts w:ascii="仿宋" w:hAnsi="仿宋" w:eastAsia="仿宋" w:cs="仿宋"/>
          <w:b/>
          <w:bCs/>
          <w:color w:val="auto"/>
          <w:kern w:val="0"/>
          <w:szCs w:val="21"/>
        </w:rPr>
      </w:pPr>
      <w:r>
        <w:rPr>
          <w:rFonts w:ascii="仿宋" w:hAnsi="仿宋" w:eastAsia="仿宋" w:cs="仿宋"/>
          <w:b/>
          <w:bCs/>
          <w:color w:val="auto"/>
          <w:kern w:val="0"/>
          <w:szCs w:val="21"/>
        </w:rPr>
        <w:t>8.3.2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1"/>
          <w:szCs w:val="21"/>
        </w:rPr>
        <w:t>套袋时间</w:t>
      </w:r>
      <w:r>
        <w:rPr>
          <w:rFonts w:ascii="仿宋" w:hAnsi="仿宋" w:eastAsia="仿宋" w:cs="仿宋"/>
          <w:b/>
          <w:bCs/>
          <w:color w:val="auto"/>
          <w:kern w:val="0"/>
          <w:sz w:val="21"/>
          <w:szCs w:val="21"/>
        </w:rPr>
        <w:t xml:space="preserve">  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果实横径为1.5~2.0 cm时即可进行。</w:t>
      </w:r>
    </w:p>
    <w:p>
      <w:pPr>
        <w:spacing w:line="400" w:lineRule="exact"/>
        <w:ind w:firstLine="0" w:firstLineChars="0"/>
        <w:rPr>
          <w:rFonts w:ascii="仿宋" w:hAnsi="仿宋" w:eastAsia="仿宋" w:cs="仿宋"/>
          <w:b/>
          <w:bCs/>
          <w:color w:val="auto"/>
          <w:kern w:val="0"/>
          <w:szCs w:val="21"/>
        </w:rPr>
      </w:pPr>
      <w:r>
        <w:rPr>
          <w:rFonts w:ascii="仿宋" w:hAnsi="仿宋" w:eastAsia="仿宋" w:cs="仿宋"/>
          <w:b/>
          <w:bCs/>
          <w:color w:val="auto"/>
          <w:kern w:val="0"/>
          <w:szCs w:val="21"/>
        </w:rPr>
        <w:t>8.3.3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1"/>
          <w:szCs w:val="21"/>
        </w:rPr>
        <w:t>套袋方法</w:t>
      </w:r>
      <w:r>
        <w:rPr>
          <w:rFonts w:ascii="仿宋" w:hAnsi="仿宋" w:eastAsia="仿宋" w:cs="仿宋"/>
          <w:b/>
          <w:bCs/>
          <w:color w:val="auto"/>
          <w:kern w:val="0"/>
          <w:sz w:val="21"/>
          <w:szCs w:val="21"/>
        </w:rPr>
        <w:t xml:space="preserve">  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套袋前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全树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喷10%氯氰菊酯或20%杀灭菊酯2000倍+70%甲基托布津可湿性粉剂1000倍1-2次。套袋时先用泡沫网兜套住果实，再将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果穗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基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部的2~3片叶片一并套入袋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内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，扎紧袋口。</w:t>
      </w:r>
      <w:bookmarkStart w:id="2" w:name="_Toc427245623"/>
      <w:bookmarkStart w:id="3" w:name="_Toc427245658"/>
      <w:bookmarkStart w:id="4" w:name="_Toc351386382"/>
      <w:bookmarkStart w:id="5" w:name="_Toc351387041"/>
      <w:bookmarkStart w:id="6" w:name="_Toc351386422"/>
      <w:bookmarkStart w:id="7" w:name="_Toc345946328"/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9 抗寒防冻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黑体"/>
          <w:color w:val="auto"/>
          <w:kern w:val="0"/>
          <w:szCs w:val="21"/>
        </w:rPr>
      </w:pPr>
      <w:r>
        <w:rPr>
          <w:rFonts w:hint="eastAsia" w:ascii="黑体" w:hAnsi="黑体" w:eastAsia="黑体" w:cs="黑体"/>
          <w:color w:val="auto"/>
          <w:kern w:val="0"/>
          <w:szCs w:val="21"/>
        </w:rPr>
        <w:t>9.1 简易防冻大棚的搭建</w:t>
      </w:r>
    </w:p>
    <w:p>
      <w:pPr>
        <w:widowControl/>
        <w:autoSpaceDE/>
        <w:autoSpaceDN/>
        <w:adjustRightInd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以毛竹为主要材料搭建简易防冻棚架。根据枇杷树高和地势设计棚架的高度和宽度，棚高宜调出树冠50cm以上，定位大棚支架的位置。挖50cm深定位穴，固定棚架支架，并搭建好大棚棚架。大棚宜拱形棚顶为佳，利于排水。简易防冻大棚应在12月中下旬冻害之前建好。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9.2 覆</w:t>
      </w:r>
      <w:r>
        <w:rPr>
          <w:rFonts w:hint="eastAsia" w:ascii="Times New Roman" w:hAnsi="Times New Roman"/>
          <w:color w:val="auto"/>
          <w:szCs w:val="21"/>
        </w:rPr>
        <w:t>膜时间</w:t>
      </w:r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可根据天气预报，在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冻害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之前，提前进行覆膜。覆膜材料可用双层塑料薄膜或防寒布，以增加保温效果。同时，用土覆盖好棚底四周的塑料薄膜。</w:t>
      </w:r>
    </w:p>
    <w:p>
      <w:pPr>
        <w:spacing w:line="400" w:lineRule="exact"/>
        <w:rPr>
          <w:rFonts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9</w:t>
      </w:r>
      <w:r>
        <w:rPr>
          <w:rFonts w:ascii="黑体" w:hAnsi="黑体" w:eastAsia="黑体"/>
          <w:color w:val="auto"/>
          <w:szCs w:val="21"/>
        </w:rPr>
        <w:t xml:space="preserve">.3 </w:t>
      </w:r>
      <w:r>
        <w:rPr>
          <w:rFonts w:hint="eastAsia" w:ascii="黑体" w:hAnsi="黑体" w:eastAsia="黑体"/>
          <w:color w:val="auto"/>
          <w:szCs w:val="21"/>
        </w:rPr>
        <w:t>保持</w:t>
      </w:r>
      <w:r>
        <w:rPr>
          <w:rFonts w:ascii="黑体" w:hAnsi="黑体" w:eastAsia="黑体"/>
          <w:color w:val="auto"/>
          <w:szCs w:val="21"/>
        </w:rPr>
        <w:t xml:space="preserve">通风 </w:t>
      </w:r>
    </w:p>
    <w:p>
      <w:pPr>
        <w:widowControl/>
        <w:autoSpaceDE/>
        <w:autoSpaceDN/>
        <w:adjustRightInd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冻害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期后，要及时打开大棚底部</w:t>
      </w:r>
      <w:r>
        <w:rPr>
          <w:rFonts w:hint="eastAsia" w:ascii="仿宋_GB2312" w:hAnsi="仿宋_GB2312" w:eastAsia="仿宋_GB2312" w:cs="仿宋_GB2312"/>
          <w:color w:val="000000"/>
          <w:szCs w:val="21"/>
          <w:lang w:bidi="ar"/>
        </w:rPr>
        <w:t>的塑料薄膜，保持大棚通风透光，防止滋生病菌，减少病虫害。</w:t>
      </w:r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Times New Roman" w:hAnsi="Times New Roman"/>
          <w:color w:val="auto"/>
          <w:szCs w:val="21"/>
        </w:rPr>
        <w:t>10</w:t>
      </w:r>
      <w:r>
        <w:rPr>
          <w:rFonts w:ascii="黑体" w:hAnsi="黑体" w:eastAsia="黑体" w:cs="宋体"/>
          <w:color w:val="auto"/>
          <w:kern w:val="0"/>
          <w:szCs w:val="21"/>
        </w:rPr>
        <w:t xml:space="preserve"> 病虫害防治</w:t>
      </w:r>
      <w:bookmarkEnd w:id="2"/>
      <w:bookmarkEnd w:id="3"/>
      <w:bookmarkEnd w:id="4"/>
      <w:bookmarkEnd w:id="5"/>
      <w:bookmarkEnd w:id="6"/>
      <w:bookmarkEnd w:id="7"/>
      <w:bookmarkStart w:id="8" w:name="_Toc427245624"/>
      <w:bookmarkStart w:id="9" w:name="_Toc351386383"/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10</w:t>
      </w:r>
      <w:r>
        <w:rPr>
          <w:rFonts w:ascii="黑体" w:hAnsi="黑体" w:eastAsia="黑体" w:cs="宋体"/>
          <w:color w:val="auto"/>
          <w:kern w:val="0"/>
          <w:szCs w:val="21"/>
        </w:rPr>
        <w:t>.1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 xml:space="preserve"> </w:t>
      </w:r>
      <w:r>
        <w:rPr>
          <w:rFonts w:ascii="黑体" w:hAnsi="黑体" w:eastAsia="黑体" w:cs="宋体"/>
          <w:color w:val="auto"/>
          <w:kern w:val="0"/>
          <w:szCs w:val="21"/>
        </w:rPr>
        <w:t>防治原则</w:t>
      </w:r>
      <w:bookmarkEnd w:id="8"/>
      <w:bookmarkEnd w:id="9"/>
    </w:p>
    <w:p>
      <w:pPr>
        <w:widowControl/>
        <w:spacing w:line="400" w:lineRule="exact"/>
        <w:ind w:firstLine="420" w:firstLineChars="200"/>
        <w:jc w:val="left"/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贯彻“预防为主，综合防治”的植保方针。合理应用物理和生物防治，按照病虫害的发生规律，科学使用化学防治技术，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实现病虫害的有效控制</w:t>
      </w:r>
      <w:r>
        <w:rPr>
          <w:rFonts w:hint="eastAsia" w:ascii="仿宋_GB2312" w:hAnsi="仿宋_GB2312" w:eastAsia="仿宋_GB2312" w:cs="仿宋_GB2312"/>
          <w:color w:val="000000"/>
          <w:sz w:val="21"/>
          <w:szCs w:val="21"/>
          <w:lang w:bidi="ar"/>
        </w:rPr>
        <w:t>。</w:t>
      </w:r>
      <w:bookmarkStart w:id="10" w:name="_Toc351386384"/>
      <w:bookmarkStart w:id="11" w:name="_Toc427245625"/>
    </w:p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10.2 农业防治</w:t>
      </w:r>
    </w:p>
    <w:p>
      <w:pPr>
        <w:spacing w:line="400" w:lineRule="exact"/>
        <w:rPr>
          <w:rFonts w:ascii="Times New Roman" w:hAnsi="Times New Roman" w:eastAsia="仿宋"/>
          <w:color w:val="auto"/>
          <w:sz w:val="21"/>
          <w:szCs w:val="21"/>
        </w:rPr>
      </w:pPr>
      <w:r>
        <w:rPr>
          <w:rFonts w:hint="eastAsia" w:ascii="Times New Roman" w:hAnsi="Times New Roman" w:eastAsia="仿宋"/>
          <w:color w:val="auto"/>
          <w:szCs w:val="21"/>
        </w:rPr>
        <w:t>10</w:t>
      </w:r>
      <w:r>
        <w:rPr>
          <w:rFonts w:ascii="Times New Roman" w:hAnsi="Times New Roman" w:eastAsia="仿宋"/>
          <w:color w:val="auto"/>
          <w:sz w:val="21"/>
          <w:szCs w:val="21"/>
        </w:rPr>
        <w:t xml:space="preserve">.2.1 </w:t>
      </w:r>
      <w:r>
        <w:rPr>
          <w:rFonts w:hint="eastAsia" w:ascii="Times New Roman" w:hAnsi="Times New Roman" w:eastAsia="仿宋"/>
          <w:color w:val="auto"/>
          <w:sz w:val="21"/>
          <w:szCs w:val="21"/>
        </w:rPr>
        <w:t>果园合理间种，生草栽培。</w:t>
      </w:r>
    </w:p>
    <w:p>
      <w:pPr>
        <w:spacing w:line="400" w:lineRule="exact"/>
        <w:rPr>
          <w:rFonts w:ascii="Times New Roman" w:hAnsi="Times New Roman" w:eastAsia="仿宋"/>
          <w:color w:val="auto"/>
          <w:sz w:val="21"/>
          <w:szCs w:val="21"/>
        </w:rPr>
      </w:pPr>
      <w:r>
        <w:rPr>
          <w:rFonts w:hint="eastAsia" w:ascii="Times New Roman" w:hAnsi="Times New Roman" w:eastAsia="仿宋"/>
          <w:color w:val="auto"/>
          <w:szCs w:val="21"/>
        </w:rPr>
        <w:t>10</w:t>
      </w:r>
      <w:r>
        <w:rPr>
          <w:rFonts w:ascii="Times New Roman" w:hAnsi="Times New Roman" w:eastAsia="仿宋"/>
          <w:color w:val="auto"/>
          <w:sz w:val="21"/>
          <w:szCs w:val="21"/>
        </w:rPr>
        <w:t xml:space="preserve">.2.2 </w:t>
      </w:r>
      <w:r>
        <w:rPr>
          <w:rFonts w:hint="eastAsia" w:ascii="Times New Roman" w:hAnsi="Times New Roman" w:eastAsia="仿宋"/>
          <w:color w:val="auto"/>
          <w:sz w:val="21"/>
          <w:szCs w:val="21"/>
        </w:rPr>
        <w:t>加强栽培管理，平衡施肥，科学灌溉，增强树势，提高树体自身抗病能力。</w:t>
      </w:r>
    </w:p>
    <w:p>
      <w:pPr>
        <w:spacing w:line="400" w:lineRule="exact"/>
        <w:rPr>
          <w:rFonts w:ascii="Times New Roman" w:hAnsi="Times New Roman" w:eastAsia="仿宋"/>
          <w:color w:val="auto"/>
          <w:sz w:val="21"/>
          <w:szCs w:val="21"/>
        </w:rPr>
      </w:pPr>
      <w:r>
        <w:rPr>
          <w:rFonts w:hint="eastAsia" w:ascii="Times New Roman" w:hAnsi="Times New Roman" w:eastAsia="仿宋"/>
          <w:color w:val="auto"/>
          <w:szCs w:val="21"/>
        </w:rPr>
        <w:t>10</w:t>
      </w:r>
      <w:r>
        <w:rPr>
          <w:rFonts w:ascii="Times New Roman" w:hAnsi="Times New Roman" w:eastAsia="仿宋"/>
          <w:color w:val="auto"/>
          <w:sz w:val="21"/>
          <w:szCs w:val="21"/>
        </w:rPr>
        <w:t xml:space="preserve">.2.3 </w:t>
      </w:r>
      <w:r>
        <w:rPr>
          <w:rFonts w:hint="eastAsia" w:ascii="Times New Roman" w:hAnsi="Times New Roman" w:eastAsia="仿宋"/>
          <w:color w:val="auto"/>
          <w:sz w:val="21"/>
          <w:szCs w:val="21"/>
        </w:rPr>
        <w:t>及时清理果园病枝、枯枝、落叶、僵果和烂果、集中烧毁，减少病虫害。</w:t>
      </w:r>
    </w:p>
    <w:bookmarkEnd w:id="10"/>
    <w:bookmarkEnd w:id="11"/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bookmarkStart w:id="12" w:name="_Toc351386385"/>
      <w:bookmarkStart w:id="13" w:name="_Toc427245626"/>
      <w:r>
        <w:rPr>
          <w:rFonts w:ascii="黑体" w:hAnsi="黑体" w:eastAsia="黑体" w:cs="宋体"/>
          <w:color w:val="auto"/>
          <w:kern w:val="0"/>
          <w:szCs w:val="21"/>
        </w:rPr>
        <w:t>10.3 物理防治</w:t>
      </w:r>
      <w:bookmarkEnd w:id="12"/>
      <w:bookmarkEnd w:id="13"/>
    </w:p>
    <w:p>
      <w:pPr>
        <w:widowControl/>
        <w:numPr>
          <w:ilvl w:val="-1"/>
          <w:numId w:val="0"/>
        </w:numPr>
        <w:autoSpaceDE/>
        <w:autoSpaceDN/>
        <w:adjustRightInd/>
        <w:spacing w:before="0" w:beforeLines="-2147483648" w:after="0" w:afterLines="-2147483648" w:line="400" w:lineRule="exact"/>
        <w:ind w:firstLine="420" w:firstLineChars="200"/>
        <w:jc w:val="left"/>
        <w:outlineLvl w:val="9"/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用灯光、黄板引诱或驱避害虫，如举尾虫、木蠹蛾、金龟子、白蚁等成虫。根据危害特性，搜寻害虫，人工捕杀以减轻危害，如天牛、举尾虫等。</w:t>
      </w:r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bookmarkStart w:id="14" w:name="_Toc351386386"/>
      <w:bookmarkStart w:id="15" w:name="_Toc427245627"/>
      <w:r>
        <w:rPr>
          <w:rFonts w:hint="eastAsia" w:ascii="黑体" w:hAnsi="黑体" w:eastAsia="黑体" w:cs="宋体"/>
          <w:color w:val="auto"/>
          <w:kern w:val="0"/>
          <w:szCs w:val="21"/>
        </w:rPr>
        <w:t>10</w:t>
      </w:r>
      <w:r>
        <w:rPr>
          <w:rFonts w:ascii="黑体" w:hAnsi="黑体" w:eastAsia="黑体" w:cs="宋体"/>
          <w:color w:val="auto"/>
          <w:kern w:val="0"/>
          <w:szCs w:val="21"/>
        </w:rPr>
        <w:t>.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4</w:t>
      </w:r>
      <w:r>
        <w:rPr>
          <w:rFonts w:ascii="黑体" w:hAnsi="黑体" w:eastAsia="黑体" w:cs="宋体"/>
          <w:color w:val="auto"/>
          <w:kern w:val="0"/>
          <w:szCs w:val="21"/>
        </w:rPr>
        <w:t xml:space="preserve"> 生物防治</w:t>
      </w:r>
      <w:bookmarkEnd w:id="14"/>
      <w:bookmarkEnd w:id="15"/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10</w:t>
      </w:r>
      <w:r>
        <w:rPr>
          <w:rFonts w:ascii="黑体" w:hAnsi="黑体" w:eastAsia="黑体" w:cs="宋体"/>
          <w:color w:val="auto"/>
          <w:kern w:val="0"/>
          <w:szCs w:val="21"/>
        </w:rPr>
        <w:t>.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4</w:t>
      </w:r>
      <w:r>
        <w:rPr>
          <w:rFonts w:ascii="黑体" w:hAnsi="黑体" w:eastAsia="黑体" w:cs="宋体"/>
          <w:color w:val="auto"/>
          <w:kern w:val="0"/>
          <w:szCs w:val="21"/>
        </w:rPr>
        <w:t>.1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 xml:space="preserve"> </w:t>
      </w:r>
      <w:r>
        <w:rPr>
          <w:rFonts w:ascii="黑体" w:hAnsi="黑体" w:eastAsia="黑体" w:cs="宋体"/>
          <w:color w:val="auto"/>
          <w:kern w:val="0"/>
          <w:szCs w:val="21"/>
        </w:rPr>
        <w:t>人工释放和助迁天敌</w:t>
      </w:r>
    </w:p>
    <w:p>
      <w:pPr>
        <w:spacing w:line="400" w:lineRule="exact"/>
        <w:ind w:firstLine="420" w:firstLineChars="200"/>
        <w:rPr>
          <w:rFonts w:ascii="Times New Roman" w:hAnsi="Times New Roman" w:eastAsia="仿宋" w:cs="宋体"/>
          <w:color w:val="auto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人工释放钝绥螨防治螨类和蓟马，助迁捕食性瓢虫控制蓟马和蚧类等。</w:t>
      </w:r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hint="eastAsia" w:ascii="黑体" w:hAnsi="黑体" w:eastAsia="黑体" w:cs="宋体"/>
          <w:color w:val="auto"/>
          <w:kern w:val="0"/>
          <w:szCs w:val="21"/>
        </w:rPr>
        <w:t>10</w:t>
      </w:r>
      <w:r>
        <w:rPr>
          <w:rFonts w:ascii="黑体" w:hAnsi="黑体" w:eastAsia="黑体" w:cs="宋体"/>
          <w:color w:val="auto"/>
          <w:kern w:val="0"/>
          <w:szCs w:val="21"/>
        </w:rPr>
        <w:t>.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4</w:t>
      </w:r>
      <w:r>
        <w:rPr>
          <w:rFonts w:ascii="黑体" w:hAnsi="黑体" w:eastAsia="黑体" w:cs="宋体"/>
          <w:color w:val="auto"/>
          <w:kern w:val="0"/>
          <w:szCs w:val="21"/>
        </w:rPr>
        <w:t>.2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 xml:space="preserve"> </w:t>
      </w:r>
      <w:r>
        <w:rPr>
          <w:rFonts w:ascii="黑体" w:hAnsi="黑体" w:eastAsia="黑体" w:cs="宋体"/>
          <w:color w:val="auto"/>
          <w:kern w:val="0"/>
          <w:szCs w:val="21"/>
        </w:rPr>
        <w:t>应用生物农药</w:t>
      </w:r>
    </w:p>
    <w:p>
      <w:pPr>
        <w:spacing w:line="400" w:lineRule="exact"/>
        <w:ind w:firstLine="420" w:firstLineChars="200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使用苏云金杆菌、杀螟杆菌、定虫隆、灭幼脲、链霉素等生物农药，防治蓑蛾等鳞翅目害虫。</w:t>
      </w:r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bookmarkStart w:id="16" w:name="_Toc427245628"/>
      <w:bookmarkStart w:id="17" w:name="_Toc351386387"/>
      <w:r>
        <w:rPr>
          <w:rFonts w:hint="eastAsia" w:ascii="黑体" w:hAnsi="黑体" w:eastAsia="黑体" w:cs="宋体"/>
          <w:color w:val="auto"/>
          <w:kern w:val="0"/>
          <w:szCs w:val="21"/>
        </w:rPr>
        <w:t>10</w:t>
      </w:r>
      <w:r>
        <w:rPr>
          <w:rFonts w:ascii="黑体" w:hAnsi="黑体" w:eastAsia="黑体" w:cs="宋体"/>
          <w:color w:val="auto"/>
          <w:kern w:val="0"/>
          <w:szCs w:val="21"/>
        </w:rPr>
        <w:t>.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5</w:t>
      </w:r>
      <w:r>
        <w:rPr>
          <w:rFonts w:ascii="黑体" w:hAnsi="黑体" w:eastAsia="黑体" w:cs="宋体"/>
          <w:color w:val="auto"/>
          <w:kern w:val="0"/>
          <w:szCs w:val="21"/>
        </w:rPr>
        <w:t xml:space="preserve"> 化学防治</w:t>
      </w:r>
      <w:bookmarkEnd w:id="16"/>
      <w:bookmarkEnd w:id="17"/>
    </w:p>
    <w:p>
      <w:pPr>
        <w:widowControl/>
        <w:numPr>
          <w:ilvl w:val="3"/>
          <w:numId w:val="0"/>
        </w:numPr>
        <w:spacing w:before="156" w:beforeLines="50" w:after="156" w:afterLines="50" w:line="400" w:lineRule="exact"/>
        <w:jc w:val="left"/>
        <w:outlineLvl w:val="4"/>
        <w:rPr>
          <w:rFonts w:ascii="Times New Roman" w:hAnsi="Times New Roman" w:eastAsia="仿宋"/>
          <w:color w:val="auto"/>
          <w:kern w:val="0"/>
          <w:sz w:val="21"/>
          <w:szCs w:val="21"/>
        </w:rPr>
      </w:pPr>
      <w:r>
        <w:rPr>
          <w:rFonts w:hint="eastAsia" w:ascii="Times New Roman" w:hAnsi="Times New Roman" w:eastAsia="仿宋"/>
          <w:color w:val="auto"/>
          <w:kern w:val="0"/>
          <w:szCs w:val="21"/>
        </w:rPr>
        <w:t>10</w:t>
      </w:r>
      <w:r>
        <w:rPr>
          <w:rFonts w:ascii="Times New Roman" w:hAnsi="Times New Roman" w:eastAsia="仿宋"/>
          <w:color w:val="auto"/>
          <w:kern w:val="0"/>
          <w:sz w:val="21"/>
          <w:szCs w:val="21"/>
        </w:rPr>
        <w:t xml:space="preserve">.5.1 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选择农药种类应符合GB/T 8321（所有部分）的规定。</w:t>
      </w:r>
    </w:p>
    <w:p>
      <w:pPr>
        <w:widowControl/>
        <w:numPr>
          <w:ilvl w:val="3"/>
          <w:numId w:val="0"/>
        </w:numPr>
        <w:spacing w:before="156" w:beforeLines="50" w:after="156" w:afterLines="50" w:line="400" w:lineRule="exact"/>
        <w:jc w:val="left"/>
        <w:outlineLvl w:val="4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Times New Roman" w:hAnsi="Times New Roman" w:eastAsia="仿宋"/>
          <w:color w:val="auto"/>
          <w:kern w:val="0"/>
          <w:szCs w:val="21"/>
        </w:rPr>
        <w:t>10</w:t>
      </w:r>
      <w:r>
        <w:rPr>
          <w:rFonts w:ascii="Times New Roman" w:hAnsi="Times New Roman" w:eastAsia="仿宋"/>
          <w:color w:val="auto"/>
          <w:kern w:val="0"/>
          <w:sz w:val="21"/>
          <w:szCs w:val="21"/>
        </w:rPr>
        <w:t>.5.2</w:t>
      </w: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使用农药应严格控制安全间隔期、施药量和施药次数，注意不同作用机理的农药交替使用和合理混用，避免产生抗药性。最后一次用药至果实收获时的安全间隔期，应符合GB 4285和GB/T 8321（所有部分）的规定。</w:t>
      </w:r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ascii="黑体" w:hAnsi="黑体" w:eastAsia="黑体" w:cs="宋体"/>
          <w:color w:val="auto"/>
          <w:kern w:val="0"/>
          <w:szCs w:val="21"/>
        </w:rPr>
        <w:t>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1</w:t>
      </w:r>
      <w:r>
        <w:rPr>
          <w:rFonts w:ascii="黑体" w:hAnsi="黑体" w:eastAsia="黑体" w:cs="宋体"/>
          <w:color w:val="auto"/>
          <w:kern w:val="0"/>
          <w:szCs w:val="21"/>
        </w:rPr>
        <w:t xml:space="preserve"> 采收与分级</w:t>
      </w:r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ascii="黑体" w:hAnsi="黑体" w:eastAsia="黑体" w:cs="宋体"/>
          <w:color w:val="auto"/>
          <w:kern w:val="0"/>
          <w:szCs w:val="21"/>
        </w:rPr>
        <w:t>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1</w:t>
      </w:r>
      <w:r>
        <w:rPr>
          <w:rFonts w:ascii="黑体" w:hAnsi="黑体" w:eastAsia="黑体" w:cs="宋体"/>
          <w:color w:val="auto"/>
          <w:kern w:val="0"/>
          <w:szCs w:val="21"/>
        </w:rPr>
        <w:t>.1 采收</w:t>
      </w:r>
    </w:p>
    <w:p>
      <w:pPr>
        <w:widowControl/>
        <w:numPr>
          <w:ilvl w:val="-1"/>
          <w:numId w:val="0"/>
        </w:numPr>
        <w:spacing w:before="0" w:beforeLines="-2147483648" w:after="0" w:afterLines="-2147483648" w:line="400" w:lineRule="exact"/>
        <w:ind w:firstLine="420" w:firstLineChars="200"/>
        <w:jc w:val="left"/>
        <w:outlineLvl w:val="9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适时采摘成熟度8成熟以上的果实，果梗保留10-15mm，采收时应注意轻拿轻放，避免对果实造成机械损伤。采果篮内侧要用柔软的材料衬垫。</w:t>
      </w:r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ascii="黑体" w:hAnsi="黑体" w:eastAsia="黑体" w:cs="宋体"/>
          <w:color w:val="auto"/>
          <w:kern w:val="0"/>
          <w:szCs w:val="21"/>
        </w:rPr>
        <w:t>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1</w:t>
      </w:r>
      <w:r>
        <w:rPr>
          <w:rFonts w:ascii="黑体" w:hAnsi="黑体" w:eastAsia="黑体" w:cs="宋体"/>
          <w:color w:val="auto"/>
          <w:kern w:val="0"/>
          <w:szCs w:val="21"/>
        </w:rPr>
        <w:t>.2 鲜果质量</w:t>
      </w:r>
    </w:p>
    <w:p>
      <w:pPr>
        <w:widowControl/>
        <w:numPr>
          <w:ilvl w:val="-1"/>
          <w:numId w:val="0"/>
        </w:numPr>
        <w:spacing w:before="0" w:beforeLines="-2147483648" w:after="0" w:afterLines="-2147483648" w:line="400" w:lineRule="exact"/>
        <w:ind w:firstLine="420" w:firstLineChars="200"/>
        <w:jc w:val="left"/>
        <w:outlineLvl w:val="9"/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枇杷品种纯正，果实新鲜；具有该品种成熟时固有的色泽，正常的风味及质地；果梗完整青鲜；果面洁净，不得沾染泥土或为外物污染；果汁丰富，不得有青粒、僵粒、落地果、腐烂果和明显腐烂象征的果实以及病虫为害。</w:t>
      </w:r>
      <w:r>
        <w:rPr>
          <w:rFonts w:hint="eastAsia" w:ascii="仿宋_GB2312" w:hAnsi="仿宋_GB2312" w:eastAsia="仿宋_GB2312" w:cs="仿宋_GB2312"/>
          <w:color w:val="000000"/>
          <w:kern w:val="2"/>
          <w:szCs w:val="21"/>
          <w:lang w:bidi="ar"/>
        </w:rPr>
        <w:t>枇杷鲜果应符合NY/T 750的要求。</w:t>
      </w:r>
    </w:p>
    <w:p>
      <w:pPr>
        <w:widowControl/>
        <w:numPr>
          <w:ilvl w:val="255"/>
          <w:numId w:val="0"/>
        </w:num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 w:cs="宋体"/>
          <w:color w:val="auto"/>
          <w:kern w:val="0"/>
          <w:szCs w:val="21"/>
        </w:rPr>
      </w:pPr>
      <w:r>
        <w:rPr>
          <w:rFonts w:ascii="黑体" w:hAnsi="黑体" w:eastAsia="黑体" w:cs="宋体"/>
          <w:color w:val="auto"/>
          <w:kern w:val="0"/>
          <w:szCs w:val="21"/>
        </w:rPr>
        <w:t>1</w:t>
      </w:r>
      <w:r>
        <w:rPr>
          <w:rFonts w:hint="eastAsia" w:ascii="黑体" w:hAnsi="黑体" w:eastAsia="黑体" w:cs="宋体"/>
          <w:color w:val="auto"/>
          <w:kern w:val="0"/>
          <w:szCs w:val="21"/>
        </w:rPr>
        <w:t>1</w:t>
      </w:r>
      <w:r>
        <w:rPr>
          <w:rFonts w:ascii="黑体" w:hAnsi="黑体" w:eastAsia="黑体" w:cs="宋体"/>
          <w:color w:val="auto"/>
          <w:kern w:val="0"/>
          <w:szCs w:val="21"/>
        </w:rPr>
        <w:t>.3 果实分级</w:t>
      </w:r>
    </w:p>
    <w:p>
      <w:pPr>
        <w:widowControl/>
        <w:numPr>
          <w:ilvl w:val="0"/>
          <w:numId w:val="0"/>
        </w:numPr>
        <w:spacing w:before="0" w:beforeLines="-2147483648" w:after="0" w:afterLines="-2147483648" w:line="400" w:lineRule="exact"/>
        <w:ind w:firstLine="420" w:firstLineChars="200"/>
        <w:jc w:val="left"/>
        <w:outlineLvl w:val="9"/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白肉枇杷果实依据不同品种单果重量，按照表1标准，分为特级（特大果，2L），一级（大果，L），二级（中果，M），三级（小果，S）四个级别。</w:t>
      </w:r>
    </w:p>
    <w:p>
      <w:pPr>
        <w:widowControl/>
        <w:spacing w:before="312" w:beforeLines="100" w:after="312" w:afterLines="100"/>
        <w:ind w:firstLine="420"/>
        <w:jc w:val="center"/>
        <w:outlineLvl w:val="1"/>
        <w:rPr>
          <w:rFonts w:hint="eastAsia" w:ascii="仿宋_GB2312" w:hAnsi="仿宋_GB2312" w:eastAsia="仿宋_GB2312" w:cs="仿宋_GB2312"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1"/>
          <w:szCs w:val="21"/>
        </w:rPr>
        <w:t>表1 枇杷果实大小分级规格</w:t>
      </w:r>
    </w:p>
    <w:tbl>
      <w:tblPr>
        <w:tblStyle w:val="7"/>
        <w:tblW w:w="80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072"/>
        <w:gridCol w:w="1072"/>
        <w:gridCol w:w="1445"/>
        <w:gridCol w:w="1430"/>
        <w:gridCol w:w="1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项别</w:t>
            </w:r>
          </w:p>
        </w:tc>
        <w:tc>
          <w:tcPr>
            <w:tcW w:w="1072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品种</w:t>
            </w:r>
          </w:p>
        </w:tc>
        <w:tc>
          <w:tcPr>
            <w:tcW w:w="1072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特级</w:t>
            </w:r>
          </w:p>
        </w:tc>
        <w:tc>
          <w:tcPr>
            <w:tcW w:w="1445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一级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二级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vMerge w:val="restart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白肉枇杷类</w:t>
            </w:r>
          </w:p>
        </w:tc>
        <w:tc>
          <w:tcPr>
            <w:tcW w:w="1072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三月白、白雪早、早白香</w:t>
            </w:r>
          </w:p>
        </w:tc>
        <w:tc>
          <w:tcPr>
            <w:tcW w:w="10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≥50</w:t>
            </w:r>
          </w:p>
        </w:tc>
        <w:tc>
          <w:tcPr>
            <w:tcW w:w="1445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40~50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30~40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20~30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vMerge w:val="continue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72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中白、贵妃、香妃</w:t>
            </w:r>
          </w:p>
        </w:tc>
        <w:tc>
          <w:tcPr>
            <w:tcW w:w="10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≥5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45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~5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~4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~3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vMerge w:val="restart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红肉枇杷类</w:t>
            </w:r>
          </w:p>
        </w:tc>
        <w:tc>
          <w:tcPr>
            <w:tcW w:w="10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  <w:t>早钟6号</w:t>
            </w:r>
          </w:p>
        </w:tc>
        <w:tc>
          <w:tcPr>
            <w:tcW w:w="10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≥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445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~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~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~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vMerge w:val="continue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</w:pPr>
          </w:p>
        </w:tc>
        <w:tc>
          <w:tcPr>
            <w:tcW w:w="10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解放钟</w:t>
            </w:r>
          </w:p>
        </w:tc>
        <w:tc>
          <w:tcPr>
            <w:tcW w:w="107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≥70</w:t>
            </w:r>
          </w:p>
        </w:tc>
        <w:tc>
          <w:tcPr>
            <w:tcW w:w="1445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60~70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50~60</w:t>
            </w:r>
          </w:p>
        </w:tc>
        <w:tc>
          <w:tcPr>
            <w:tcW w:w="1430" w:type="dxa"/>
            <w:vAlign w:val="center"/>
          </w:tcPr>
          <w:p>
            <w:pPr>
              <w:tabs>
                <w:tab w:val="right" w:pos="8306"/>
              </w:tabs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40~50</w:t>
            </w:r>
          </w:p>
        </w:tc>
      </w:tr>
    </w:tbl>
    <w:p>
      <w:pPr>
        <w:widowControl/>
        <w:spacing w:before="312" w:beforeLines="100" w:after="312" w:afterLines="100" w:line="400" w:lineRule="exact"/>
        <w:outlineLvl w:val="1"/>
        <w:rPr>
          <w:rFonts w:ascii="黑体" w:hAnsi="黑体" w:eastAsia="黑体"/>
          <w:color w:val="auto"/>
          <w:kern w:val="0"/>
          <w:szCs w:val="21"/>
        </w:rPr>
      </w:pPr>
      <w:r>
        <w:rPr>
          <w:rFonts w:ascii="黑体" w:hAnsi="黑体" w:eastAsia="黑体"/>
          <w:color w:val="auto"/>
          <w:kern w:val="0"/>
          <w:szCs w:val="21"/>
        </w:rPr>
        <w:t>11.4包装</w:t>
      </w:r>
    </w:p>
    <w:p>
      <w:pPr>
        <w:widowControl/>
        <w:spacing w:before="312" w:beforeLines="100" w:after="312" w:afterLines="100" w:line="400" w:lineRule="exact"/>
        <w:ind w:firstLine="420"/>
        <w:jc w:val="left"/>
        <w:outlineLvl w:val="1"/>
        <w:rPr>
          <w:rFonts w:ascii="Times New Roman" w:hAnsi="Times New Roman" w:eastAsia="仿宋"/>
          <w:b/>
          <w:bCs/>
          <w:color w:val="auto"/>
          <w:sz w:val="24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21"/>
          <w:szCs w:val="21"/>
          <w:lang w:bidi="ar"/>
        </w:rPr>
        <w:t>包装时果柄保留5-8mm，特级果、一级果应单粒先套泡沫网兜，再装盒包装。鲜果包装标识应符合NY/T 1939-2010的相关要求，包装材料应符合国家食品安全的有关规定。</w:t>
      </w:r>
    </w:p>
    <w:p>
      <w:pPr>
        <w:widowControl/>
        <w:numPr>
          <w:ilvl w:val="3"/>
          <w:numId w:val="0"/>
        </w:numPr>
        <w:spacing w:before="156" w:beforeLines="50" w:after="156" w:afterLines="50"/>
        <w:jc w:val="both"/>
        <w:outlineLvl w:val="4"/>
        <w:rPr>
          <w:rFonts w:hint="eastAsia" w:ascii="Times New Roman" w:hAnsi="Times New Roman" w:eastAsia="仿宋"/>
          <w:b/>
          <w:bCs/>
          <w:color w:val="auto"/>
          <w:kern w:val="0"/>
          <w:szCs w:val="21"/>
        </w:rPr>
      </w:pPr>
      <w:bookmarkStart w:id="18" w:name="_GoBack"/>
      <w:bookmarkEnd w:id="18"/>
    </w:p>
    <w:p>
      <w:pPr>
        <w:widowControl/>
        <w:numPr>
          <w:ilvl w:val="3"/>
          <w:numId w:val="0"/>
        </w:numPr>
        <w:spacing w:before="156" w:beforeLines="50" w:after="156" w:afterLines="50"/>
        <w:jc w:val="center"/>
        <w:outlineLvl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</w:rPr>
        <w:t>附录A</w:t>
      </w:r>
    </w:p>
    <w:p>
      <w:pPr>
        <w:widowControl/>
        <w:numPr>
          <w:ilvl w:val="3"/>
          <w:numId w:val="0"/>
        </w:numPr>
        <w:spacing w:before="156" w:beforeLines="50" w:after="156" w:afterLines="50"/>
        <w:jc w:val="center"/>
        <w:outlineLvl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</w:rPr>
        <w:t>（资料性附录）</w:t>
      </w:r>
    </w:p>
    <w:p>
      <w:pPr>
        <w:widowControl/>
        <w:numPr>
          <w:ilvl w:val="255"/>
          <w:numId w:val="0"/>
        </w:numPr>
        <w:spacing w:before="0" w:beforeLines="-2147483648" w:after="0" w:afterLines="-2147483648" w:line="360" w:lineRule="auto"/>
        <w:ind w:firstLine="420" w:firstLineChars="200"/>
        <w:jc w:val="center"/>
        <w:outlineLvl w:val="9"/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</w:rPr>
      </w:pPr>
      <w:r>
        <w:rPr>
          <w:rFonts w:hint="eastAsia" w:ascii="仿宋_GB2312" w:hAnsi="仿宋_GB2312" w:eastAsia="仿宋_GB2312" w:cs="仿宋_GB2312"/>
          <w:color w:val="auto"/>
          <w:kern w:val="0"/>
          <w:szCs w:val="21"/>
        </w:rPr>
        <w:t>主要病虫害及其防治方法</w:t>
      </w:r>
    </w:p>
    <w:p>
      <w:pPr>
        <w:widowControl/>
        <w:numPr>
          <w:ilvl w:val="3"/>
          <w:numId w:val="0"/>
        </w:numPr>
        <w:spacing w:before="156" w:beforeLines="50" w:after="156" w:afterLines="50"/>
        <w:ind w:firstLine="422" w:firstLineChars="200"/>
        <w:jc w:val="center"/>
        <w:outlineLvl w:val="4"/>
        <w:rPr>
          <w:rFonts w:hint="eastAsia" w:ascii="仿宋_GB2312" w:hAnsi="仿宋_GB2312" w:eastAsia="仿宋_GB2312" w:cs="仿宋_GB2312"/>
          <w:b/>
          <w:bCs/>
          <w:color w:val="auto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Cs w:val="21"/>
        </w:rPr>
        <w:t>表2 枇杷常见病虫害防治表</w:t>
      </w:r>
    </w:p>
    <w:tbl>
      <w:tblPr>
        <w:tblStyle w:val="8"/>
        <w:tblW w:w="10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8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虫害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防治方法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黄毛虫、枇杷舟蛾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少量的可用人工抓杀,大面积发生可用10%氯氰菊酯乳油或20%杀灭菊酯乳油2500倍防治。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天牛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用刮刀刮及树皮下幼虫,铁丝钩杀蛀入木质部内的幼虫;也可用菊酯类农药500倍经注射器注入虫孔并用湿泥封堵,毒杀幼虫。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蛴螬、白蚁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人工挖杀或用50%辛硫磷乳油500倍浇灌毒杀。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食心虫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剪除并烧毁病虫枝,减少虫源;用杀灭菊酯等杀 虫剂进行防治。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蚜虫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可用10%吐虫啉可湿性粉剂等药剂进行防治。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叶斑病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用50%多菌灵可湿性粉剂800~1000倍、或65%代森锌可湿性粉剂500~600倍等药剂防治。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炭疽病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施用0.5%波尔多液、50%退菌特可湿性粉剂、65%代森锌可湿性粉剂等药剂防治,隔10~15天喷施1次,连续1~2次。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果锈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果实套袋前用70%甲基托布津可湿性粉剂1000倍防治。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叶缘焦枯病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加强肥水管理,增强树势,剪除病梢。全树喷施0.4%氯化钙,或喷施0.4%氯化钙加每株施石灰5kg,控制或减轻该病害的发生和蔓延。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枝干腐烂病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发现树干树皮病斑,要及时刮除干净,病皮集中烧毁,在病部涂上50%托布津可湿性粉剂50倍液。防治小枝、侧枝病斑时,可用50%退菌特可湿性粉剂600~800倍液喷布,每周一次,连续2~3次。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裂果病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增施有机肥，保持水分均匀；果实套袋。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296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360" w:lineRule="auto"/>
              <w:jc w:val="center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皱果病</w:t>
            </w:r>
          </w:p>
        </w:tc>
        <w:tc>
          <w:tcPr>
            <w:tcW w:w="8762" w:type="dxa"/>
          </w:tcPr>
          <w:p>
            <w:pPr>
              <w:widowControl/>
              <w:numPr>
                <w:ilvl w:val="3"/>
                <w:numId w:val="0"/>
              </w:numPr>
              <w:spacing w:before="156" w:beforeLines="50" w:after="156" w:afterLines="50" w:line="120" w:lineRule="auto"/>
              <w:jc w:val="left"/>
              <w:outlineLvl w:val="4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适时采收，增施有机肥，补充微量元素，合理结果，及时防治果梗病害。</w:t>
            </w:r>
          </w:p>
        </w:tc>
      </w:tr>
    </w:tbl>
    <w:p>
      <w:pPr>
        <w:widowControl/>
        <w:numPr>
          <w:ilvl w:val="3"/>
          <w:numId w:val="0"/>
        </w:numPr>
        <w:spacing w:before="156" w:beforeLines="50" w:after="156" w:afterLines="50" w:line="360" w:lineRule="auto"/>
        <w:jc w:val="left"/>
        <w:outlineLvl w:val="4"/>
        <w:rPr>
          <w:rFonts w:ascii="Times New Roman" w:hAnsi="Times New Roman" w:eastAsia="仿宋"/>
          <w:color w:val="auto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5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4"/>
      <w:suff w:val="nothing"/>
      <w:lvlText w:val="%1.%2　"/>
      <w:lvlJc w:val="left"/>
      <w:pPr>
        <w:ind w:left="315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6"/>
      <w:suff w:val="nothing"/>
      <w:lvlText w:val="%1.%2.%3　"/>
      <w:lvlJc w:val="left"/>
      <w:pPr>
        <w:ind w:left="42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7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8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9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RlZTRmZTM4ODIxNzczZDFmOWE4ZmZhNzdjMmEzNzkifQ=="/>
  </w:docVars>
  <w:rsids>
    <w:rsidRoot w:val="003B2DFF"/>
    <w:rsid w:val="0001182F"/>
    <w:rsid w:val="000262A4"/>
    <w:rsid w:val="00026BB0"/>
    <w:rsid w:val="000302D0"/>
    <w:rsid w:val="000505AA"/>
    <w:rsid w:val="000879DA"/>
    <w:rsid w:val="000B4767"/>
    <w:rsid w:val="000C334B"/>
    <w:rsid w:val="000C4CD4"/>
    <w:rsid w:val="000D09EA"/>
    <w:rsid w:val="0010728D"/>
    <w:rsid w:val="00121E33"/>
    <w:rsid w:val="00122975"/>
    <w:rsid w:val="00122AB9"/>
    <w:rsid w:val="0013296F"/>
    <w:rsid w:val="001429C8"/>
    <w:rsid w:val="00152695"/>
    <w:rsid w:val="001537B0"/>
    <w:rsid w:val="00166096"/>
    <w:rsid w:val="00175F89"/>
    <w:rsid w:val="0019255B"/>
    <w:rsid w:val="001B688D"/>
    <w:rsid w:val="001C1278"/>
    <w:rsid w:val="001E6141"/>
    <w:rsid w:val="001F16DF"/>
    <w:rsid w:val="001F47E5"/>
    <w:rsid w:val="00203C1E"/>
    <w:rsid w:val="00221763"/>
    <w:rsid w:val="00224C86"/>
    <w:rsid w:val="00236042"/>
    <w:rsid w:val="00253142"/>
    <w:rsid w:val="002572D8"/>
    <w:rsid w:val="00274C8A"/>
    <w:rsid w:val="00275EFC"/>
    <w:rsid w:val="002A1B59"/>
    <w:rsid w:val="002A45B2"/>
    <w:rsid w:val="002A7EE5"/>
    <w:rsid w:val="002B03EA"/>
    <w:rsid w:val="002B14D4"/>
    <w:rsid w:val="002D0AE7"/>
    <w:rsid w:val="002D2E7A"/>
    <w:rsid w:val="002E1036"/>
    <w:rsid w:val="002E7590"/>
    <w:rsid w:val="0032500B"/>
    <w:rsid w:val="00326E37"/>
    <w:rsid w:val="00327EC5"/>
    <w:rsid w:val="0034293E"/>
    <w:rsid w:val="00352F7E"/>
    <w:rsid w:val="00366AE7"/>
    <w:rsid w:val="00372C12"/>
    <w:rsid w:val="00382E2C"/>
    <w:rsid w:val="003B2DFF"/>
    <w:rsid w:val="003C1E98"/>
    <w:rsid w:val="003C247D"/>
    <w:rsid w:val="003C41AA"/>
    <w:rsid w:val="003D2234"/>
    <w:rsid w:val="003D2A74"/>
    <w:rsid w:val="003E6F83"/>
    <w:rsid w:val="003F0C99"/>
    <w:rsid w:val="003F5CFE"/>
    <w:rsid w:val="00405E17"/>
    <w:rsid w:val="00425242"/>
    <w:rsid w:val="00431F21"/>
    <w:rsid w:val="00485B55"/>
    <w:rsid w:val="004A1073"/>
    <w:rsid w:val="004B2D7F"/>
    <w:rsid w:val="004B2F03"/>
    <w:rsid w:val="004C2E46"/>
    <w:rsid w:val="004D050C"/>
    <w:rsid w:val="005276C7"/>
    <w:rsid w:val="00534D94"/>
    <w:rsid w:val="00573D67"/>
    <w:rsid w:val="00580239"/>
    <w:rsid w:val="005A2E3D"/>
    <w:rsid w:val="005A45AD"/>
    <w:rsid w:val="005C747C"/>
    <w:rsid w:val="005D2B4A"/>
    <w:rsid w:val="005E45E9"/>
    <w:rsid w:val="00622611"/>
    <w:rsid w:val="006355C1"/>
    <w:rsid w:val="0063561B"/>
    <w:rsid w:val="006551CD"/>
    <w:rsid w:val="0066110B"/>
    <w:rsid w:val="00662F57"/>
    <w:rsid w:val="00673610"/>
    <w:rsid w:val="006B637B"/>
    <w:rsid w:val="006C443E"/>
    <w:rsid w:val="007114F9"/>
    <w:rsid w:val="00754D61"/>
    <w:rsid w:val="007552B9"/>
    <w:rsid w:val="00776AFC"/>
    <w:rsid w:val="00793E8B"/>
    <w:rsid w:val="007C4206"/>
    <w:rsid w:val="007C6812"/>
    <w:rsid w:val="007E3E96"/>
    <w:rsid w:val="007E5107"/>
    <w:rsid w:val="007E7487"/>
    <w:rsid w:val="00831CB9"/>
    <w:rsid w:val="008418BC"/>
    <w:rsid w:val="00843F64"/>
    <w:rsid w:val="00857958"/>
    <w:rsid w:val="008646AC"/>
    <w:rsid w:val="00867C32"/>
    <w:rsid w:val="00873225"/>
    <w:rsid w:val="0087479A"/>
    <w:rsid w:val="00877AE7"/>
    <w:rsid w:val="0088713C"/>
    <w:rsid w:val="00891BDD"/>
    <w:rsid w:val="008A1513"/>
    <w:rsid w:val="008D7409"/>
    <w:rsid w:val="00907B0B"/>
    <w:rsid w:val="00920042"/>
    <w:rsid w:val="009219A8"/>
    <w:rsid w:val="0092547C"/>
    <w:rsid w:val="00925619"/>
    <w:rsid w:val="00956E56"/>
    <w:rsid w:val="00963B0E"/>
    <w:rsid w:val="009958EA"/>
    <w:rsid w:val="00995E46"/>
    <w:rsid w:val="009975F3"/>
    <w:rsid w:val="009A362C"/>
    <w:rsid w:val="009C2466"/>
    <w:rsid w:val="009D6335"/>
    <w:rsid w:val="009F174B"/>
    <w:rsid w:val="00A21ABD"/>
    <w:rsid w:val="00A22231"/>
    <w:rsid w:val="00A51103"/>
    <w:rsid w:val="00A561F2"/>
    <w:rsid w:val="00A637BB"/>
    <w:rsid w:val="00A7067D"/>
    <w:rsid w:val="00A803EF"/>
    <w:rsid w:val="00A84046"/>
    <w:rsid w:val="00AA7255"/>
    <w:rsid w:val="00AB32EE"/>
    <w:rsid w:val="00AD4ED3"/>
    <w:rsid w:val="00AF51D1"/>
    <w:rsid w:val="00B35AB0"/>
    <w:rsid w:val="00B616D3"/>
    <w:rsid w:val="00B678CB"/>
    <w:rsid w:val="00B67CDC"/>
    <w:rsid w:val="00B775E2"/>
    <w:rsid w:val="00B80C47"/>
    <w:rsid w:val="00B833D6"/>
    <w:rsid w:val="00B84B80"/>
    <w:rsid w:val="00B978BC"/>
    <w:rsid w:val="00BA2A14"/>
    <w:rsid w:val="00BC0DAA"/>
    <w:rsid w:val="00BC2927"/>
    <w:rsid w:val="00BF7AA5"/>
    <w:rsid w:val="00C12039"/>
    <w:rsid w:val="00C12DF7"/>
    <w:rsid w:val="00C17382"/>
    <w:rsid w:val="00C21B00"/>
    <w:rsid w:val="00C622DD"/>
    <w:rsid w:val="00C85210"/>
    <w:rsid w:val="00C871B1"/>
    <w:rsid w:val="00CA3F84"/>
    <w:rsid w:val="00CD6DE1"/>
    <w:rsid w:val="00CE6483"/>
    <w:rsid w:val="00D64544"/>
    <w:rsid w:val="00D679BB"/>
    <w:rsid w:val="00D716E1"/>
    <w:rsid w:val="00D719E1"/>
    <w:rsid w:val="00D81271"/>
    <w:rsid w:val="00D96283"/>
    <w:rsid w:val="00DA2F36"/>
    <w:rsid w:val="00DC337F"/>
    <w:rsid w:val="00DC67CC"/>
    <w:rsid w:val="00DD7A70"/>
    <w:rsid w:val="00DE472E"/>
    <w:rsid w:val="00DE7128"/>
    <w:rsid w:val="00E169AD"/>
    <w:rsid w:val="00E46B9E"/>
    <w:rsid w:val="00E663D4"/>
    <w:rsid w:val="00EB56B0"/>
    <w:rsid w:val="00F03259"/>
    <w:rsid w:val="00F242EF"/>
    <w:rsid w:val="00F34B4E"/>
    <w:rsid w:val="00F449A2"/>
    <w:rsid w:val="00F52D37"/>
    <w:rsid w:val="00F65716"/>
    <w:rsid w:val="00FA5B3D"/>
    <w:rsid w:val="00FB07A3"/>
    <w:rsid w:val="00FB2DC6"/>
    <w:rsid w:val="00FC1014"/>
    <w:rsid w:val="00FF1C51"/>
    <w:rsid w:val="01477922"/>
    <w:rsid w:val="06FF283C"/>
    <w:rsid w:val="09CE1022"/>
    <w:rsid w:val="09DE01FF"/>
    <w:rsid w:val="0B9C119F"/>
    <w:rsid w:val="0D6E0387"/>
    <w:rsid w:val="0F7E37A5"/>
    <w:rsid w:val="12C1588A"/>
    <w:rsid w:val="172418E1"/>
    <w:rsid w:val="18B91DBB"/>
    <w:rsid w:val="1AE90E88"/>
    <w:rsid w:val="1CA33E6F"/>
    <w:rsid w:val="1D8D3453"/>
    <w:rsid w:val="1E7F1AB8"/>
    <w:rsid w:val="299A71F7"/>
    <w:rsid w:val="2CAB6F65"/>
    <w:rsid w:val="399272E3"/>
    <w:rsid w:val="3B5741DD"/>
    <w:rsid w:val="448A33F1"/>
    <w:rsid w:val="45B811AA"/>
    <w:rsid w:val="473736CD"/>
    <w:rsid w:val="48AC4E16"/>
    <w:rsid w:val="4C1135AA"/>
    <w:rsid w:val="4E826A4C"/>
    <w:rsid w:val="4EB50B56"/>
    <w:rsid w:val="51B119D0"/>
    <w:rsid w:val="55412586"/>
    <w:rsid w:val="55883913"/>
    <w:rsid w:val="567D6FAC"/>
    <w:rsid w:val="578C01E1"/>
    <w:rsid w:val="595D116C"/>
    <w:rsid w:val="5BF004F9"/>
    <w:rsid w:val="60D63785"/>
    <w:rsid w:val="62562501"/>
    <w:rsid w:val="65EF5F1B"/>
    <w:rsid w:val="6B381BAC"/>
    <w:rsid w:val="6D45DBDC"/>
    <w:rsid w:val="6D8DCF75"/>
    <w:rsid w:val="6DDD32FC"/>
    <w:rsid w:val="6DDEC1B5"/>
    <w:rsid w:val="6DFCDF5E"/>
    <w:rsid w:val="708A472C"/>
    <w:rsid w:val="74F07AC1"/>
    <w:rsid w:val="76DFBAF2"/>
    <w:rsid w:val="776FB436"/>
    <w:rsid w:val="7BFF02CE"/>
    <w:rsid w:val="7EE8747B"/>
    <w:rsid w:val="7EF11A8E"/>
    <w:rsid w:val="7F0F5082"/>
    <w:rsid w:val="7FCEAF98"/>
    <w:rsid w:val="9BF3D6E3"/>
    <w:rsid w:val="BBEB56C8"/>
    <w:rsid w:val="C77BD4F3"/>
    <w:rsid w:val="DDFFD66E"/>
    <w:rsid w:val="DF4E5AC4"/>
    <w:rsid w:val="F77FCD82"/>
    <w:rsid w:val="FB7D55FA"/>
    <w:rsid w:val="FC6F20EA"/>
    <w:rsid w:val="FDA887BF"/>
    <w:rsid w:val="FE643119"/>
    <w:rsid w:val="FFEF336B"/>
    <w:rsid w:val="FFF7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日期 字符"/>
    <w:basedOn w:val="9"/>
    <w:link w:val="2"/>
    <w:semiHidden/>
    <w:qFormat/>
    <w:uiPriority w:val="99"/>
    <w:rPr>
      <w:rFonts w:ascii="Calibri" w:hAnsi="Calibri" w:eastAsia="宋体" w:cs="Times New Roman"/>
      <w:szCs w:val="24"/>
    </w:rPr>
  </w:style>
  <w:style w:type="paragraph" w:customStyle="1" w:styleId="14">
    <w:name w:val="一级条标题"/>
    <w:next w:val="1"/>
    <w:qFormat/>
    <w:uiPriority w:val="0"/>
    <w:pPr>
      <w:numPr>
        <w:ilvl w:val="1"/>
        <w:numId w:val="1"/>
      </w:numPr>
      <w:spacing w:before="156" w:beforeLines="50" w:after="156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5">
    <w:name w:val="章标题"/>
    <w:next w:val="1"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6">
    <w:name w:val="二级条标题"/>
    <w:basedOn w:val="14"/>
    <w:next w:val="1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7">
    <w:name w:val="三级条标题"/>
    <w:basedOn w:val="16"/>
    <w:next w:val="1"/>
    <w:qFormat/>
    <w:uiPriority w:val="0"/>
    <w:pPr>
      <w:numPr>
        <w:ilvl w:val="3"/>
      </w:numPr>
      <w:outlineLvl w:val="4"/>
    </w:pPr>
  </w:style>
  <w:style w:type="paragraph" w:customStyle="1" w:styleId="18">
    <w:name w:val="四级条标题"/>
    <w:basedOn w:val="17"/>
    <w:next w:val="1"/>
    <w:qFormat/>
    <w:uiPriority w:val="0"/>
    <w:pPr>
      <w:numPr>
        <w:ilvl w:val="4"/>
      </w:numPr>
      <w:outlineLvl w:val="5"/>
    </w:pPr>
  </w:style>
  <w:style w:type="paragraph" w:customStyle="1" w:styleId="19">
    <w:name w:val="五级条标题"/>
    <w:basedOn w:val="18"/>
    <w:next w:val="1"/>
    <w:qFormat/>
    <w:uiPriority w:val="0"/>
    <w:pPr>
      <w:numPr>
        <w:ilvl w:val="5"/>
      </w:numPr>
      <w:outlineLvl w:val="6"/>
    </w:pPr>
  </w:style>
  <w:style w:type="paragraph" w:customStyle="1" w:styleId="20">
    <w:name w:val="段"/>
    <w:link w:val="21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1">
    <w:name w:val="段 Char"/>
    <w:basedOn w:val="9"/>
    <w:link w:val="20"/>
    <w:qFormat/>
    <w:uiPriority w:val="0"/>
    <w:rPr>
      <w:rFonts w:ascii="宋体" w:hAnsi="Times New Roman" w:eastAsia="宋体" w:cs="Times New Roman"/>
      <w:kern w:val="0"/>
      <w:szCs w:val="20"/>
    </w:rPr>
  </w:style>
  <w:style w:type="paragraph" w:customStyle="1" w:styleId="22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23">
    <w:name w:val="批注框文本 字符"/>
    <w:basedOn w:val="9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24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25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4033</Words>
  <Characters>4808</Characters>
  <Lines>45</Lines>
  <Paragraphs>12</Paragraphs>
  <TotalTime>167</TotalTime>
  <ScaleCrop>false</ScaleCrop>
  <LinksUpToDate>false</LinksUpToDate>
  <CharactersWithSpaces>5026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2022-09-08T17:23:00Z</dcterms:created>
  <dc:creator>微软用户</dc:creator>
  <cp:lastModifiedBy>志</cp:lastModifiedBy>
  <cp:lastPrinted>2024-07-09T17:07:00Z</cp:lastPrinted>
  <dcterms:modified xsi:type="dcterms:W3CDTF">2024-07-14T08:07:20Z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B8BAFE87CB144D32A0981F55F64D4786_13</vt:lpwstr>
  </property>
</Properties>
</file>